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B61B" w14:textId="220FCA8D" w:rsidR="00CA6710" w:rsidRDefault="00CA6710" w:rsidP="00D7010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001DD98D" w14:textId="72827A06" w:rsidR="00200907" w:rsidRPr="00AA1F31" w:rsidRDefault="00200907" w:rsidP="00200907">
      <w:pPr>
        <w:pStyle w:val="Heading1"/>
        <w:spacing w:before="120" w:after="120" w:line="3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FAECC" wp14:editId="045180E9">
                <wp:simplePos x="0" y="0"/>
                <wp:positionH relativeFrom="column">
                  <wp:posOffset>-57150</wp:posOffset>
                </wp:positionH>
                <wp:positionV relativeFrom="paragraph">
                  <wp:posOffset>-415290</wp:posOffset>
                </wp:positionV>
                <wp:extent cx="142875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CDE7E" w14:textId="77777777" w:rsidR="00200907" w:rsidRDefault="00200907" w:rsidP="00200907">
                            <w:r w:rsidRPr="00AA1F31">
                              <w:rPr>
                                <w:noProof/>
                              </w:rPr>
                              <w:drawing>
                                <wp:inline distT="0" distB="0" distL="0" distR="0" wp14:anchorId="332079D5" wp14:editId="7FEE9D84">
                                  <wp:extent cx="1239520" cy="766395"/>
                                  <wp:effectExtent l="0" t="0" r="0" b="0"/>
                                  <wp:docPr id="2" name="Picture 2" descr="G:\a VGA\FORM MẪU\LOGO\LOGO\logo VGA\logo VG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a VGA\FORM MẪU\LOGO\LOGO\logo VGA\logo VG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520" cy="766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FAE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pt;margin-top:-32.7pt;width:112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" fillcolor="white [3201]" stroked="f" strokeweight=".5pt">
                <v:textbox>
                  <w:txbxContent>
                    <w:p w14:paraId="628CDE7E" w14:textId="77777777" w:rsidR="00200907" w:rsidRDefault="00200907" w:rsidP="00200907">
                      <w:r w:rsidRPr="00AA1F31">
                        <w:rPr>
                          <w:noProof/>
                        </w:rPr>
                        <w:drawing>
                          <wp:inline distT="0" distB="0" distL="0" distR="0" wp14:anchorId="332079D5" wp14:editId="7FEE9D84">
                            <wp:extent cx="1239520" cy="766395"/>
                            <wp:effectExtent l="0" t="0" r="0" b="0"/>
                            <wp:docPr id="2" name="Picture 2" descr="G:\a VGA\FORM MẪU\LOGO\LOGO\logo VGA\logo VG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a VGA\FORM MẪU\LOGO\LOGO\logo VGA\logo VG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520" cy="766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w:t xml:space="preserve">                        </w:t>
      </w:r>
      <w:r w:rsidRPr="00871F8A">
        <w:rPr>
          <w:rFonts w:ascii="Times New Roman" w:hAnsi="Times New Roman" w:cs="Times New Roman"/>
          <w:color w:val="auto"/>
          <w:sz w:val="34"/>
        </w:rPr>
        <w:t xml:space="preserve">BAN </w:t>
      </w:r>
      <w:r>
        <w:rPr>
          <w:rFonts w:ascii="Times New Roman" w:hAnsi="Times New Roman" w:cs="Times New Roman"/>
          <w:color w:val="auto"/>
          <w:sz w:val="34"/>
        </w:rPr>
        <w:t xml:space="preserve">THỦY SẢN </w:t>
      </w:r>
      <w:r w:rsidRPr="00871F8A">
        <w:rPr>
          <w:rFonts w:ascii="Times New Roman" w:hAnsi="Times New Roman" w:cs="Times New Roman"/>
          <w:color w:val="auto"/>
          <w:sz w:val="34"/>
        </w:rPr>
        <w:t xml:space="preserve"> XANH  VGA</w:t>
      </w:r>
    </w:p>
    <w:p w14:paraId="52DA55F1" w14:textId="77777777" w:rsidR="00200907" w:rsidRDefault="00200907" w:rsidP="00D7010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5E1D291C" w14:textId="12904007" w:rsidR="00D7010B" w:rsidRDefault="00D7010B" w:rsidP="0020090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D7010B">
        <w:rPr>
          <w:rFonts w:eastAsia="Times New Roman" w:cs="Times New Roman"/>
          <w:b/>
          <w:bCs/>
          <w:kern w:val="36"/>
          <w:szCs w:val="28"/>
        </w:rPr>
        <w:t>CHIẾN LƯỢC PHÁT TRIỂN THỦY SẢN XANH &amp; SỐ HÓA TRONG KỶ NGUYÊN CHUYỂN ĐỔI – HƯỚNG TỚI NET ZERO 2050</w:t>
      </w:r>
    </w:p>
    <w:p w14:paraId="42F50C28" w14:textId="77777777" w:rsidR="00200907" w:rsidRPr="00D7010B" w:rsidRDefault="00200907" w:rsidP="00200907">
      <w:pPr>
        <w:spacing w:before="120" w:after="120" w:line="340" w:lineRule="exact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1FBF0864" w14:textId="77777777" w:rsidR="00D7010B" w:rsidRPr="00D7010B" w:rsidRDefault="00D7010B" w:rsidP="00200907">
      <w:pPr>
        <w:spacing w:before="120" w:after="120" w:line="340" w:lineRule="exac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1. Tầm nhìn chiến lược trong bối cảnh mới</w:t>
      </w:r>
    </w:p>
    <w:p w14:paraId="49AA6AD1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Ngành thủy sản Việt Nam đang bước vào giai đoạn </w:t>
      </w:r>
      <w:r w:rsidRPr="00D7010B">
        <w:rPr>
          <w:rFonts w:eastAsia="Times New Roman" w:cs="Times New Roman"/>
          <w:bCs/>
          <w:szCs w:val="28"/>
        </w:rPr>
        <w:t>chuyển đổi mang tính cấu trúc</w:t>
      </w:r>
      <w:r w:rsidRPr="00D7010B">
        <w:rPr>
          <w:rFonts w:eastAsia="Times New Roman" w:cs="Times New Roman"/>
          <w:szCs w:val="28"/>
        </w:rPr>
        <w:t xml:space="preserve">, không chỉ nhằm tăng trưởng sản lượng mà hướng tới </w:t>
      </w:r>
      <w:r w:rsidRPr="00D7010B">
        <w:rPr>
          <w:rFonts w:eastAsia="Times New Roman" w:cs="Times New Roman"/>
          <w:b/>
          <w:bCs/>
          <w:szCs w:val="28"/>
        </w:rPr>
        <w:t>tăng trưởng xanh – thông minh – bền vững</w:t>
      </w:r>
      <w:r w:rsidRPr="00D7010B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</w:t>
      </w:r>
    </w:p>
    <w:p w14:paraId="2FE461AA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Biến đổi khí hậu, suy giảm tài nguyên, áp lực tiêu chuẩn môi trường toàn cầu và cam kết </w:t>
      </w:r>
      <w:r w:rsidRPr="00D7010B">
        <w:rPr>
          <w:rFonts w:eastAsia="Times New Roman" w:cs="Times New Roman"/>
          <w:b/>
          <w:bCs/>
          <w:szCs w:val="28"/>
        </w:rPr>
        <w:t>Net Zero 2050</w:t>
      </w:r>
      <w:r w:rsidRPr="00D7010B">
        <w:rPr>
          <w:rFonts w:eastAsia="Times New Roman" w:cs="Times New Roman"/>
          <w:szCs w:val="28"/>
        </w:rPr>
        <w:t xml:space="preserve"> đã đặt ngành thủy sản trước yêu cầu </w:t>
      </w:r>
      <w:r w:rsidRPr="00D7010B">
        <w:rPr>
          <w:rFonts w:eastAsia="Times New Roman" w:cs="Times New Roman"/>
          <w:bCs/>
          <w:szCs w:val="28"/>
        </w:rPr>
        <w:t>đổi mới mô hình phát triển một cách căn bản</w:t>
      </w:r>
      <w:r w:rsidR="00200907">
        <w:rPr>
          <w:rFonts w:eastAsia="Times New Roman" w:cs="Times New Roman"/>
          <w:szCs w:val="28"/>
        </w:rPr>
        <w:t>.</w:t>
      </w:r>
    </w:p>
    <w:p w14:paraId="7EB1A969" w14:textId="5193D878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Trong bối cảnh đó, </w:t>
      </w:r>
      <w:r w:rsidRPr="00D7010B">
        <w:rPr>
          <w:rFonts w:eastAsia="Times New Roman" w:cs="Times New Roman"/>
          <w:b/>
          <w:bCs/>
          <w:szCs w:val="28"/>
        </w:rPr>
        <w:t>Thủy sản Xanh gắn với Số hóa</w:t>
      </w:r>
      <w:r w:rsidRPr="00D7010B">
        <w:rPr>
          <w:rFonts w:eastAsia="Times New Roman" w:cs="Times New Roman"/>
          <w:szCs w:val="28"/>
        </w:rPr>
        <w:t xml:space="preserve"> chính là trụ cột chiến lược để tái định vị ngành trong kỷ nguyên mới.</w:t>
      </w:r>
    </w:p>
    <w:p w14:paraId="00BD0D1F" w14:textId="77777777" w:rsidR="00D7010B" w:rsidRPr="00D7010B" w:rsidRDefault="00D7010B" w:rsidP="00200907">
      <w:pPr>
        <w:spacing w:before="120" w:after="120" w:line="340" w:lineRule="exac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2. Thủy sản Xanh &amp; Số hóa – Trụ cột kép của phát triển bền vững</w:t>
      </w:r>
    </w:p>
    <w:p w14:paraId="6FAD07FF" w14:textId="77777777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Thủy sản xanh</w:t>
      </w:r>
      <w:r w:rsidRPr="00D7010B">
        <w:rPr>
          <w:rFonts w:eastAsia="Times New Roman" w:cs="Times New Roman"/>
          <w:szCs w:val="28"/>
        </w:rPr>
        <w:t xml:space="preserve"> là mô hình phát triển hài hòa giữa kinh tế – môi trường – xã hội, lấy </w:t>
      </w:r>
      <w:r w:rsidRPr="00D7010B">
        <w:rPr>
          <w:rFonts w:eastAsia="Times New Roman" w:cs="Times New Roman"/>
          <w:b/>
          <w:bCs/>
          <w:szCs w:val="28"/>
        </w:rPr>
        <w:t>giảm phát thải, bảo tồn hệ sinh thái và sử dụng hiệu quả tài nguyên</w:t>
      </w:r>
      <w:r w:rsidRPr="00D7010B">
        <w:rPr>
          <w:rFonts w:eastAsia="Times New Roman" w:cs="Times New Roman"/>
          <w:szCs w:val="28"/>
        </w:rPr>
        <w:t xml:space="preserve"> làm nền tảng.</w:t>
      </w:r>
      <w:r w:rsidRPr="00D7010B">
        <w:rPr>
          <w:rFonts w:eastAsia="Times New Roman" w:cs="Times New Roman"/>
          <w:szCs w:val="28"/>
        </w:rPr>
        <w:br/>
      </w:r>
      <w:r w:rsidRPr="00D7010B">
        <w:rPr>
          <w:rFonts w:eastAsia="Times New Roman" w:cs="Times New Roman"/>
          <w:b/>
          <w:bCs/>
          <w:szCs w:val="28"/>
        </w:rPr>
        <w:t>Số hóa ngành thủy sản</w:t>
      </w:r>
      <w:r w:rsidRPr="00D7010B">
        <w:rPr>
          <w:rFonts w:eastAsia="Times New Roman" w:cs="Times New Roman"/>
          <w:szCs w:val="28"/>
        </w:rPr>
        <w:t xml:space="preserve"> là công cụ then chốt giúp đo lường phát thải, tối ưu vận hành, nâng cao minh bạch và khả năng kiểm soát chuỗi giá trị.</w:t>
      </w:r>
      <w:r w:rsidRPr="00D7010B">
        <w:rPr>
          <w:rFonts w:eastAsia="Times New Roman" w:cs="Times New Roman"/>
          <w:szCs w:val="28"/>
        </w:rPr>
        <w:br/>
        <w:t xml:space="preserve">Sự kết hợp giữa xanh hóa và số hóa tạo ra </w:t>
      </w:r>
      <w:r w:rsidRPr="00D7010B">
        <w:rPr>
          <w:rFonts w:eastAsia="Times New Roman" w:cs="Times New Roman"/>
          <w:b/>
          <w:bCs/>
          <w:szCs w:val="28"/>
        </w:rPr>
        <w:t>hệ sinh thái thủy sản thông minh</w:t>
      </w:r>
      <w:r w:rsidRPr="00D7010B">
        <w:rPr>
          <w:rFonts w:eastAsia="Times New Roman" w:cs="Times New Roman"/>
          <w:szCs w:val="28"/>
        </w:rPr>
        <w:t>, đáp ứng yêu cầu của thị trường toàn cầu và mục tiêu Net Zero.</w:t>
      </w:r>
    </w:p>
    <w:p w14:paraId="5C18A225" w14:textId="77777777" w:rsidR="00D7010B" w:rsidRPr="00D7010B" w:rsidRDefault="00D7010B" w:rsidP="00200907">
      <w:pPr>
        <w:spacing w:before="120" w:after="120" w:line="340" w:lineRule="exac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3. Phân tích SWOT ngành Thủy sản Việt Nam trong lộ trình Net Zero</w:t>
      </w:r>
    </w:p>
    <w:p w14:paraId="5FE254F2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Strengths – Điểm mạnh chiến lược</w:t>
      </w:r>
    </w:p>
    <w:p w14:paraId="3C867CA6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Việt Nam sở hữu điều kiện tự nhiên thuận lợi với đường bờ biển dài, vùng nước nội địa pho</w:t>
      </w:r>
      <w:r w:rsidR="00200907">
        <w:rPr>
          <w:rFonts w:eastAsia="Times New Roman" w:cs="Times New Roman"/>
          <w:szCs w:val="28"/>
        </w:rPr>
        <w:t>ng phú và hệ sinh thái đa dạng.</w:t>
      </w:r>
    </w:p>
    <w:p w14:paraId="714621DC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Ngành thủy sản đã tham gia sâu vào chuỗi cung ứng toàn cầu, có năng</w:t>
      </w:r>
      <w:r w:rsidR="00200907">
        <w:rPr>
          <w:rFonts w:eastAsia="Times New Roman" w:cs="Times New Roman"/>
          <w:szCs w:val="28"/>
        </w:rPr>
        <w:t xml:space="preserve"> lực sản xuất và xuất khẩu lớn.</w:t>
      </w:r>
    </w:p>
    <w:p w14:paraId="0A2B2E05" w14:textId="1B3F950F" w:rsidR="00D7010B" w:rsidRP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szCs w:val="28"/>
        </w:rPr>
        <w:t>Cam kết chính trị mạnh mẽ của Chính phủ về kinh tế xanh, chuyển đổi số và trung hòa carbon.</w:t>
      </w:r>
    </w:p>
    <w:p w14:paraId="498B68D2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Weaknesses – Điểm nghẽn cần tháo gỡ</w:t>
      </w:r>
    </w:p>
    <w:p w14:paraId="1FD13AE0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lastRenderedPageBreak/>
        <w:t xml:space="preserve">Mô hình sản xuất còn phân tán, phát thải cao, hiệu quả </w:t>
      </w:r>
      <w:r w:rsidR="00200907">
        <w:rPr>
          <w:rFonts w:eastAsia="Times New Roman" w:cs="Times New Roman"/>
          <w:szCs w:val="28"/>
        </w:rPr>
        <w:t>sử dụng tài nguyên chưa tối ưu.</w:t>
      </w:r>
    </w:p>
    <w:p w14:paraId="0E93507F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Mức độ số hóa chưa đồng bộ, thiếu hệ thống dữ liệu ngành v</w:t>
      </w:r>
      <w:r w:rsidR="00200907">
        <w:rPr>
          <w:rFonts w:eastAsia="Times New Roman" w:cs="Times New Roman"/>
          <w:szCs w:val="28"/>
        </w:rPr>
        <w:t>à nền tảng quản trị thông minh.</w:t>
      </w:r>
    </w:p>
    <w:p w14:paraId="1D0C725E" w14:textId="729D109D" w:rsidR="00D7010B" w:rsidRP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szCs w:val="28"/>
        </w:rPr>
        <w:t>Nguồn nhân lực xanh – số còn thiếu và yếu, đặc biệt ở khu vực nông thôn ven biển.</w:t>
      </w:r>
    </w:p>
    <w:p w14:paraId="3B98AB7E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Opportunities – Cơ hội bứt phá</w:t>
      </w:r>
    </w:p>
    <w:p w14:paraId="5BEBFCE8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Thị trường quốc tế ngày càng ưu tiên sản phẩm thủy sản </w:t>
      </w:r>
      <w:r w:rsidRPr="00D7010B">
        <w:rPr>
          <w:rFonts w:eastAsia="Times New Roman" w:cs="Times New Roman"/>
          <w:b/>
          <w:bCs/>
          <w:szCs w:val="28"/>
        </w:rPr>
        <w:t>xanh – minh bạch – có truy xuất nguồn gốc</w:t>
      </w:r>
      <w:r w:rsidR="00200907">
        <w:rPr>
          <w:rFonts w:eastAsia="Times New Roman" w:cs="Times New Roman"/>
          <w:szCs w:val="28"/>
        </w:rPr>
        <w:t>.</w:t>
      </w:r>
    </w:p>
    <w:p w14:paraId="1547023A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Các quỹ tài chính xanh, quỹ khí hậu và cơ chế tín chỉ carbon</w:t>
      </w:r>
      <w:r w:rsidR="00200907">
        <w:rPr>
          <w:rFonts w:eastAsia="Times New Roman" w:cs="Times New Roman"/>
          <w:szCs w:val="28"/>
        </w:rPr>
        <w:t xml:space="preserve"> mở ra nguồn lực mới cho ngành.</w:t>
      </w:r>
    </w:p>
    <w:p w14:paraId="7EAA647F" w14:textId="29113C67" w:rsidR="00D7010B" w:rsidRP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szCs w:val="28"/>
        </w:rPr>
        <w:t>Công nghệ số giúp giảm chi phí, giảm phát thải và nâng cao giá trị gia tăng.</w:t>
      </w:r>
    </w:p>
    <w:p w14:paraId="7E9487DA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Threats – Thách thức dài hạn</w:t>
      </w:r>
    </w:p>
    <w:p w14:paraId="7F74D248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Biến đổi khí hậu làm gia tăng rủi ro dịch bệnh, thiên tai </w:t>
      </w:r>
      <w:r w:rsidR="00200907">
        <w:rPr>
          <w:rFonts w:eastAsia="Times New Roman" w:cs="Times New Roman"/>
          <w:szCs w:val="28"/>
        </w:rPr>
        <w:t>và suy giảm nguồn lợi tự nhiên.</w:t>
      </w:r>
    </w:p>
    <w:p w14:paraId="3EE9E863" w14:textId="77777777" w:rsid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Tiêu chuẩn môi trường, lao động, carbon ngày càng khắt k</w:t>
      </w:r>
      <w:r w:rsidR="00200907">
        <w:rPr>
          <w:rFonts w:eastAsia="Times New Roman" w:cs="Times New Roman"/>
          <w:szCs w:val="28"/>
        </w:rPr>
        <w:t>he từ các thị trường nhập khẩu.</w:t>
      </w:r>
    </w:p>
    <w:p w14:paraId="0FD771EF" w14:textId="580E7D4D" w:rsidR="00D7010B" w:rsidRPr="00200907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szCs w:val="28"/>
        </w:rPr>
        <w:t>Cạnh tranh quốc tế gay gắt trong bối cảnh chuyển đổi xanh toàn cầu.</w:t>
      </w:r>
    </w:p>
    <w:p w14:paraId="573A8E60" w14:textId="77777777" w:rsidR="00D7010B" w:rsidRPr="00D7010B" w:rsidRDefault="00D7010B" w:rsidP="00200907">
      <w:pPr>
        <w:spacing w:before="120" w:after="120" w:line="340" w:lineRule="exac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4. Định hướng chiến lược phát triển Thủy sản Xanh &amp; Số hóa</w:t>
      </w:r>
    </w:p>
    <w:p w14:paraId="7C74EDAF" w14:textId="77777777" w:rsidR="00D7010B" w:rsidRPr="00D7010B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4.1. Tái cấu trúc mô hình sản xuất theo hướng xanh</w:t>
      </w:r>
    </w:p>
    <w:p w14:paraId="17D1CC4E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Phát triển nuôi trồng sinh thái, nuôi tuần hoàn, nuôi đa loài (IMTA) </w:t>
      </w:r>
      <w:r w:rsidR="00200907">
        <w:rPr>
          <w:rFonts w:eastAsia="Times New Roman" w:cs="Times New Roman"/>
          <w:szCs w:val="28"/>
        </w:rPr>
        <w:t>nhằm giảm phát thải và ô nhiễm.</w:t>
      </w:r>
    </w:p>
    <w:p w14:paraId="2CCF5999" w14:textId="05E40649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Ứng dụng năng lượng tái tạo trong nuôi trồng, khai thác và chế biến thủy sản.</w:t>
      </w:r>
      <w:r w:rsidRPr="00D7010B">
        <w:rPr>
          <w:rFonts w:eastAsia="Times New Roman" w:cs="Times New Roman"/>
          <w:szCs w:val="28"/>
        </w:rPr>
        <w:br/>
        <w:t>Giảm phụ thuộc vào kháng sinh, hóa chất và thức ăn phát thải cao.</w:t>
      </w:r>
    </w:p>
    <w:p w14:paraId="29AD0259" w14:textId="77777777" w:rsidR="00D7010B" w:rsidRPr="00D7010B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4.2. Số hóa toàn diện chuỗi giá trị thủy sản</w:t>
      </w:r>
    </w:p>
    <w:p w14:paraId="2DBE68D7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Ứng dụng IoT và Big Data trong giám sát môi trường, quản l</w:t>
      </w:r>
      <w:r w:rsidR="00200907">
        <w:rPr>
          <w:rFonts w:eastAsia="Times New Roman" w:cs="Times New Roman"/>
          <w:szCs w:val="28"/>
        </w:rPr>
        <w:t>ý dịch bệnh và tối ưu sản xuất.</w:t>
      </w:r>
    </w:p>
    <w:p w14:paraId="6D3FD9E9" w14:textId="47DABE2C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Áp dụng Blockchain để truy xuất nguồn gốc, đáp ứng yêu cầu thị trường xanh.</w:t>
      </w:r>
      <w:r w:rsidRPr="00D7010B">
        <w:rPr>
          <w:rFonts w:eastAsia="Times New Roman" w:cs="Times New Roman"/>
          <w:szCs w:val="28"/>
        </w:rPr>
        <w:br/>
        <w:t>AI hỗ trợ dự báo rủi ro, tối ưu logistics và quản lý phát thải carbon.</w:t>
      </w:r>
    </w:p>
    <w:p w14:paraId="4597A7B8" w14:textId="77777777" w:rsidR="00D7010B" w:rsidRPr="00D7010B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4.3. Xanh hóa chế biến, logistics và thị trường</w:t>
      </w:r>
    </w:p>
    <w:p w14:paraId="1944A509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Đổi mới công nghệ chế biến theo hướng tiết kiệm năng lượng, giảm</w:t>
      </w:r>
      <w:r w:rsidR="00200907">
        <w:rPr>
          <w:rFonts w:eastAsia="Times New Roman" w:cs="Times New Roman"/>
          <w:szCs w:val="28"/>
        </w:rPr>
        <w:t xml:space="preserve"> phát thải và tái chế phụ phẩm.</w:t>
      </w:r>
    </w:p>
    <w:p w14:paraId="2DF61255" w14:textId="17583D39" w:rsidR="00CA6710" w:rsidRP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lastRenderedPageBreak/>
        <w:t>Phát triển logistics lạnh xanh, giảm phát thải trong vận chuyển và lưu kho.</w:t>
      </w:r>
      <w:r w:rsidRPr="00D7010B">
        <w:rPr>
          <w:rFonts w:eastAsia="Times New Roman" w:cs="Times New Roman"/>
          <w:szCs w:val="28"/>
        </w:rPr>
        <w:br/>
        <w:t>Đẩy mạnh sản phẩm giá trị gia tăng, thân thiện môi trường và kinh tế tuần hoàn.</w:t>
      </w:r>
      <w:bookmarkStart w:id="0" w:name="_GoBack"/>
      <w:bookmarkEnd w:id="0"/>
    </w:p>
    <w:p w14:paraId="542A0B70" w14:textId="77777777" w:rsidR="00D7010B" w:rsidRPr="00D7010B" w:rsidRDefault="00D7010B" w:rsidP="00200907">
      <w:pPr>
        <w:spacing w:before="120" w:after="120" w:line="340" w:lineRule="exac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4.4. Thể chế, nhân lực và hợp tác đa bên</w:t>
      </w:r>
    </w:p>
    <w:p w14:paraId="6C05A93E" w14:textId="77777777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>Hoàn thiện khung pháp lý, tiêu chuẩn carbon và chứng nhận thủy sản xanh.</w:t>
      </w:r>
      <w:r w:rsidRPr="00D7010B">
        <w:rPr>
          <w:rFonts w:eastAsia="Times New Roman" w:cs="Times New Roman"/>
          <w:szCs w:val="28"/>
        </w:rPr>
        <w:br/>
        <w:t>Đào tạo nguồn nhân lực thủy sản xanh – số, nâng cao năng lực quản trị.</w:t>
      </w:r>
      <w:r w:rsidRPr="00D7010B">
        <w:rPr>
          <w:rFonts w:eastAsia="Times New Roman" w:cs="Times New Roman"/>
          <w:szCs w:val="28"/>
        </w:rPr>
        <w:br/>
        <w:t>Tăng cường hợp tác công – tư, quốc tế và khu vực trong chuyển đổi Net Zero.</w:t>
      </w:r>
    </w:p>
    <w:p w14:paraId="303A9C65" w14:textId="77777777" w:rsidR="00D7010B" w:rsidRPr="00D7010B" w:rsidRDefault="00D7010B" w:rsidP="00200907">
      <w:pPr>
        <w:spacing w:before="120" w:after="120" w:line="340" w:lineRule="exac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D7010B">
        <w:rPr>
          <w:rFonts w:eastAsia="Times New Roman" w:cs="Times New Roman"/>
          <w:b/>
          <w:bCs/>
          <w:szCs w:val="28"/>
        </w:rPr>
        <w:t>5. Kết luận – Con đường tất yếu hướng tới Net Zero 2050</w:t>
      </w:r>
    </w:p>
    <w:p w14:paraId="5D21A334" w14:textId="77777777" w:rsidR="00200907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Phát triển </w:t>
      </w:r>
      <w:r w:rsidRPr="00D7010B">
        <w:rPr>
          <w:rFonts w:eastAsia="Times New Roman" w:cs="Times New Roman"/>
          <w:b/>
          <w:bCs/>
          <w:szCs w:val="28"/>
        </w:rPr>
        <w:t>Thủy sản Xanh &amp; Số hóa</w:t>
      </w:r>
      <w:r w:rsidRPr="00D7010B">
        <w:rPr>
          <w:rFonts w:eastAsia="Times New Roman" w:cs="Times New Roman"/>
          <w:szCs w:val="28"/>
        </w:rPr>
        <w:t xml:space="preserve"> không chỉ là yêu cầu bắt buộc để thực hiện </w:t>
      </w:r>
      <w:r w:rsidRPr="00D7010B">
        <w:rPr>
          <w:rFonts w:eastAsia="Times New Roman" w:cs="Times New Roman"/>
          <w:b/>
          <w:bCs/>
          <w:szCs w:val="28"/>
        </w:rPr>
        <w:t>Cam kết Net Zero 2050</w:t>
      </w:r>
      <w:r w:rsidRPr="00D7010B">
        <w:rPr>
          <w:rFonts w:eastAsia="Times New Roman" w:cs="Times New Roman"/>
          <w:szCs w:val="28"/>
        </w:rPr>
        <w:t xml:space="preserve">, mà còn là </w:t>
      </w:r>
      <w:r w:rsidRPr="00D7010B">
        <w:rPr>
          <w:rFonts w:eastAsia="Times New Roman" w:cs="Times New Roman"/>
          <w:b/>
          <w:bCs/>
          <w:szCs w:val="28"/>
        </w:rPr>
        <w:t>cơ hội lịch sử</w:t>
      </w:r>
      <w:r w:rsidRPr="00D7010B">
        <w:rPr>
          <w:rFonts w:eastAsia="Times New Roman" w:cs="Times New Roman"/>
          <w:szCs w:val="28"/>
        </w:rPr>
        <w:t xml:space="preserve"> để tái cấu trúc toà</w:t>
      </w:r>
      <w:r w:rsidR="00200907">
        <w:rPr>
          <w:rFonts w:eastAsia="Times New Roman" w:cs="Times New Roman"/>
          <w:szCs w:val="28"/>
        </w:rPr>
        <w:t>n diện ngành thủy sản Việt Nam.</w:t>
      </w:r>
    </w:p>
    <w:p w14:paraId="538EA5AF" w14:textId="786BDD9C" w:rsidR="00D7010B" w:rsidRPr="00D7010B" w:rsidRDefault="00D7010B" w:rsidP="00200907">
      <w:pPr>
        <w:spacing w:before="120" w:after="120" w:line="340" w:lineRule="exact"/>
        <w:jc w:val="both"/>
        <w:rPr>
          <w:rFonts w:eastAsia="Times New Roman" w:cs="Times New Roman"/>
          <w:szCs w:val="28"/>
        </w:rPr>
      </w:pPr>
      <w:r w:rsidRPr="00D7010B">
        <w:rPr>
          <w:rFonts w:eastAsia="Times New Roman" w:cs="Times New Roman"/>
          <w:szCs w:val="28"/>
        </w:rPr>
        <w:t xml:space="preserve">Với tầm nhìn dài hạn, chính sách đồng bộ và ứng dụng công nghệ hiện đại, ngành thủy sản Việt Nam hoàn toàn có thể trở thành </w:t>
      </w:r>
      <w:r w:rsidRPr="00D7010B">
        <w:rPr>
          <w:rFonts w:eastAsia="Times New Roman" w:cs="Times New Roman"/>
          <w:b/>
          <w:bCs/>
          <w:szCs w:val="28"/>
        </w:rPr>
        <w:t xml:space="preserve">ngành kinh tế biển xanh – thông minh – có trách nhiệm hàng đầu khu vực </w:t>
      </w:r>
      <w:r>
        <w:rPr>
          <w:rFonts w:eastAsia="Times New Roman" w:cs="Times New Roman"/>
          <w:b/>
          <w:bCs/>
          <w:szCs w:val="28"/>
        </w:rPr>
        <w:t>ASEAN trong tương lai</w:t>
      </w:r>
      <w:r w:rsidRPr="00D7010B">
        <w:rPr>
          <w:rFonts w:eastAsia="Times New Roman" w:cs="Times New Roman"/>
          <w:szCs w:val="28"/>
        </w:rPr>
        <w:t>.</w:t>
      </w:r>
    </w:p>
    <w:p w14:paraId="2276FFFF" w14:textId="77777777" w:rsidR="007F11D3" w:rsidRDefault="007F11D3" w:rsidP="00200907">
      <w:pPr>
        <w:spacing w:before="120" w:after="120" w:line="340" w:lineRule="exact"/>
        <w:rPr>
          <w:rFonts w:cs="Times New Roman"/>
          <w:szCs w:val="28"/>
        </w:rPr>
      </w:pPr>
    </w:p>
    <w:p w14:paraId="4A478FCF" w14:textId="77777777" w:rsidR="00CA6710" w:rsidRDefault="00CA6710" w:rsidP="00200907">
      <w:pPr>
        <w:spacing w:before="120" w:after="120" w:line="340" w:lineRule="exact"/>
        <w:outlineLvl w:val="0"/>
        <w:rPr>
          <w:rFonts w:eastAsia="Times New Roman" w:cs="Times New Roman"/>
          <w:b/>
          <w:bCs/>
          <w:kern w:val="36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eastAsia="Times New Roman" w:cs="Times New Roman"/>
          <w:b/>
          <w:bCs/>
          <w:kern w:val="36"/>
          <w:szCs w:val="28"/>
        </w:rPr>
        <w:t>BAN THUỶ SẢN XANH - VGA</w:t>
      </w:r>
    </w:p>
    <w:p w14:paraId="3664DE8D" w14:textId="77777777" w:rsidR="00CA6710" w:rsidRPr="00D7010B" w:rsidRDefault="00CA6710">
      <w:pPr>
        <w:rPr>
          <w:rFonts w:cs="Times New Roman"/>
          <w:szCs w:val="28"/>
        </w:rPr>
      </w:pPr>
    </w:p>
    <w:sectPr w:rsidR="00CA6710" w:rsidRPr="00D7010B" w:rsidSect="00CA671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7"/>
    <w:rsid w:val="00200907"/>
    <w:rsid w:val="005005D5"/>
    <w:rsid w:val="007F11D3"/>
    <w:rsid w:val="00C34F27"/>
    <w:rsid w:val="00CA6710"/>
    <w:rsid w:val="00D7010B"/>
    <w:rsid w:val="00E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4D7C"/>
  <w15:chartTrackingRefBased/>
  <w15:docId w15:val="{9641260A-4650-40E0-B96B-AB1490F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0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2026-01-06T03:24:00Z</dcterms:created>
  <dcterms:modified xsi:type="dcterms:W3CDTF">2026-01-21T09:03:00Z</dcterms:modified>
</cp:coreProperties>
</file>