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F31" w:rsidRDefault="00AA1F31" w:rsidP="00AA1F31">
      <w:pPr>
        <w:pStyle w:val="Heading1"/>
        <w:spacing w:before="120" w:after="120" w:line="340" w:lineRule="exact"/>
        <w:jc w:val="both"/>
        <w:rPr>
          <w:rFonts w:ascii="Times New Roman" w:hAnsi="Times New Roman" w:cs="Times New Roman"/>
          <w:color w:val="auto"/>
        </w:rPr>
      </w:pPr>
      <w:r>
        <w:rPr>
          <w:rFonts w:ascii="Times New Roman" w:hAnsi="Times New Roman" w:cs="Times New Roman"/>
          <w:noProof/>
          <w:color w:val="auto"/>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-120015</wp:posOffset>
                </wp:positionV>
                <wp:extent cx="142875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28750" cy="914400"/>
                        </a:xfrm>
                        <a:prstGeom prst="rect">
                          <a:avLst/>
                        </a:prstGeom>
                        <a:solidFill>
                          <a:schemeClr val="lt1"/>
                        </a:solidFill>
                        <a:ln w="6350">
                          <a:noFill/>
                        </a:ln>
                      </wps:spPr>
                      <wps:txbx>
                        <w:txbxContent>
                          <w:p w:rsidR="00AA1F31" w:rsidRDefault="00AA1F31">
                            <w:r w:rsidRPr="00AA1F31">
                              <w:rPr>
                                <w:noProof/>
                              </w:rPr>
                              <w:drawing>
                                <wp:inline distT="0" distB="0" distL="0" distR="0">
                                  <wp:extent cx="1239520" cy="766395"/>
                                  <wp:effectExtent l="0" t="0" r="0" b="0"/>
                                  <wp:docPr id="2" name="Picture 2" descr="G:\a VGA\FORM MẪU\LOGO\LOGO\logo VGA\logo V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 VGA\FORM MẪU\LOGO\LOGO\logo VGA\logo VG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9520" cy="7663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pt;margin-top:-9.45pt;width:112.5pt;height:1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8n9PQIAAHkEAAAOAAAAZHJzL2Uyb0RvYy54bWysVE1v2zAMvQ/YfxB0X51k6ZdRp8hadBhQ&#10;tAXSoWdFlhoDsqhJSuzu1+9Jdtqs22nYRZZEiuR7j/TFZd8atlM+NGQrPj2acKaspLqxzxX//njz&#10;6YyzEIWthSGrKv6iAr9cfPxw0blSzWhDplaeIYgNZecqvonRlUUR5Ea1IhyRUxZGTb4VEUf/XNRe&#10;dIjemmI2mZwUHfnaeZIqBNxeD0a+yPG1VjLeax1UZKbiqC3m1ed1ndZicSHKZy/cppFjGeIfqmhF&#10;Y5H0NdS1iIJtffNHqLaRngLpeCSpLUjrRqqMAWimk3doVhvhVMYCcoJ7pSn8v7DybvfgWVNDO86s&#10;aCHRo+oj+0I9myZ2OhdKOK0c3GKP6+Q53gdcJtC99m36Ag6DHTy/vHKbgsn0aD47Oz2GScJ2Pp3P&#10;J5n84u218yF+VdSytKm4h3aZUrG7DREZ4bp3SckCmaa+aYzJh9Qv6sp4thNQ2sRcI1785mUs6yp+&#10;8hllpEeW0vMhsrFIkLAOmNIu9ut+BLqm+gX4PQ39E5y8aVDkrQjxQXg0DHBhCOI9Fm0ISWjccbYh&#10;//Nv98kfOsLKWYcGrHj4sRVecWa+WSicOULH5sP8+HSGHP7Qsj602G17RUAOFVFd3ib/aPZb7al9&#10;wqwsU1aYhJXIXfG4317FYSwwa1Itl9kJPepEvLUrJ1PoRFqS4LF/Et6NOkUofEf7VhXlO7kG34Hu&#10;5TaSbrKWieCB1ZF39HeWeJzFNECH5+z19sdY/AIAAP//AwBQSwMEFAAGAAgAAAAhAA2h6nbiAAAA&#10;CwEAAA8AAABkcnMvZG93bnJldi54bWxMj0tPwzAQhO9I/Adrkbig1nmoUEKcCiEeEjcaWsTNjZck&#10;Il5HsZuEf8/2BLfdndHsN/lmtp0YcfCtIwXxMgKBVDnTUq3gvXxarEH4oMnozhEq+EEPm+L8LNeZ&#10;cRO94bgNteAQ8plW0ITQZ1L6qkGr/dL1SKx9ucHqwOtQSzPoicNtJ5MoupZWt8QfGt3jQ4PV9/Zo&#10;FXxe1R+vfn7eTekq7R9fxvJmb0qlLi/m+zsQAefwZ4YTPqNDwUwHdyTjRadgESfcJZyG9S0IdiRx&#10;ypcDW5NVDLLI5f8OxS8AAAD//wMAUEsBAi0AFAAGAAgAAAAhALaDOJL+AAAA4QEAABMAAAAAAAAA&#10;AAAAAAAAAAAAAFtDb250ZW50X1R5cGVzXS54bWxQSwECLQAUAAYACAAAACEAOP0h/9YAAACUAQAA&#10;CwAAAAAAAAAAAAAAAAAvAQAAX3JlbHMvLnJlbHNQSwECLQAUAAYACAAAACEAWu/J/T0CAAB5BAAA&#10;DgAAAAAAAAAAAAAAAAAuAgAAZHJzL2Uyb0RvYy54bWxQSwECLQAUAAYACAAAACEADaHqduIAAAAL&#10;AQAADwAAAAAAAAAAAAAAAACXBAAAZHJzL2Rvd25yZXYueG1sUEsFBgAAAAAEAAQA8wAAAKYFAAAA&#10;AA==&#10;" fillcolor="white [3201]" stroked="f" strokeweight=".5pt">
                <v:textbox>
                  <w:txbxContent>
                    <w:p w:rsidR="00AA1F31" w:rsidRDefault="00AA1F31">
                      <w:r w:rsidRPr="00AA1F31">
                        <w:rPr>
                          <w:noProof/>
                        </w:rPr>
                        <w:drawing>
                          <wp:inline distT="0" distB="0" distL="0" distR="0">
                            <wp:extent cx="1239520" cy="766395"/>
                            <wp:effectExtent l="0" t="0" r="0" b="0"/>
                            <wp:docPr id="2" name="Picture 2" descr="G:\a VGA\FORM MẪU\LOGO\LOGO\logo VGA\logo V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 VGA\FORM MẪU\LOGO\LOGO\logo VGA\logo VG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9520" cy="766395"/>
                                    </a:xfrm>
                                    <a:prstGeom prst="rect">
                                      <a:avLst/>
                                    </a:prstGeom>
                                    <a:noFill/>
                                    <a:ln>
                                      <a:noFill/>
                                    </a:ln>
                                  </pic:spPr>
                                </pic:pic>
                              </a:graphicData>
                            </a:graphic>
                          </wp:inline>
                        </w:drawing>
                      </w:r>
                    </w:p>
                  </w:txbxContent>
                </v:textbox>
              </v:shape>
            </w:pict>
          </mc:Fallback>
        </mc:AlternateContent>
      </w:r>
    </w:p>
    <w:p w:rsidR="00146E1A" w:rsidRPr="00AA1F31" w:rsidRDefault="00AA1F31" w:rsidP="00AA1F31">
      <w:pPr>
        <w:pStyle w:val="Heading1"/>
        <w:spacing w:before="120" w:after="120" w:line="340" w:lineRule="exact"/>
        <w:jc w:val="both"/>
        <w:rPr>
          <w:rFonts w:ascii="Times New Roman" w:hAnsi="Times New Roman" w:cs="Times New Roman"/>
          <w:color w:val="auto"/>
        </w:rPr>
      </w:pPr>
      <w:r>
        <w:rPr>
          <w:rFonts w:ascii="Times New Roman" w:hAnsi="Times New Roman" w:cs="Times New Roman"/>
          <w:color w:val="auto"/>
        </w:rPr>
        <w:t xml:space="preserve">                                      </w:t>
      </w:r>
      <w:r w:rsidR="00063622" w:rsidRPr="00AA1F31">
        <w:rPr>
          <w:rFonts w:ascii="Times New Roman" w:hAnsi="Times New Roman" w:cs="Times New Roman"/>
          <w:color w:val="auto"/>
        </w:rPr>
        <w:t>T</w:t>
      </w:r>
      <w:r w:rsidR="00DD4B53" w:rsidRPr="00AA1F31">
        <w:rPr>
          <w:rFonts w:ascii="Times New Roman" w:hAnsi="Times New Roman" w:cs="Times New Roman"/>
          <w:color w:val="auto"/>
        </w:rPr>
        <w:t>IỂU BAN</w:t>
      </w:r>
      <w:r w:rsidR="00063622" w:rsidRPr="00AA1F31">
        <w:rPr>
          <w:rFonts w:ascii="Times New Roman" w:hAnsi="Times New Roman" w:cs="Times New Roman"/>
          <w:color w:val="auto"/>
        </w:rPr>
        <w:t xml:space="preserve"> CHUYỂN ĐỔI SỐ VGA</w:t>
      </w:r>
    </w:p>
    <w:p w:rsidR="00AA1F31" w:rsidRDefault="00063622" w:rsidP="00AA1F31">
      <w:pPr>
        <w:spacing w:before="120" w:after="120" w:line="340" w:lineRule="exact"/>
        <w:jc w:val="both"/>
        <w:rPr>
          <w:rFonts w:ascii="Times New Roman" w:hAnsi="Times New Roman" w:cs="Times New Roman"/>
          <w:b/>
          <w:bCs/>
          <w:sz w:val="28"/>
          <w:szCs w:val="28"/>
        </w:rPr>
      </w:pPr>
      <w:r w:rsidRPr="00DD4B53">
        <w:rPr>
          <w:rFonts w:ascii="Times New Roman" w:hAnsi="Times New Roman" w:cs="Times New Roman"/>
          <w:sz w:val="28"/>
          <w:szCs w:val="28"/>
        </w:rPr>
        <w:br/>
      </w:r>
    </w:p>
    <w:p w:rsidR="00271762" w:rsidRDefault="00063622" w:rsidP="00271762">
      <w:pPr>
        <w:spacing w:before="120" w:after="120" w:line="340" w:lineRule="exact"/>
        <w:jc w:val="center"/>
        <w:rPr>
          <w:rFonts w:ascii="Times New Roman" w:hAnsi="Times New Roman" w:cs="Times New Roman"/>
          <w:b/>
          <w:bCs/>
          <w:sz w:val="28"/>
          <w:szCs w:val="28"/>
        </w:rPr>
      </w:pPr>
      <w:r w:rsidRPr="00DD4B53">
        <w:rPr>
          <w:rFonts w:ascii="Times New Roman" w:hAnsi="Times New Roman" w:cs="Times New Roman"/>
          <w:b/>
          <w:bCs/>
          <w:sz w:val="28"/>
          <w:szCs w:val="28"/>
        </w:rPr>
        <w:t>CHUYỂN ĐỔI SỐ – TẤM HỘ CHIẾU XANH</w:t>
      </w:r>
    </w:p>
    <w:p w:rsidR="00146E1A" w:rsidRPr="00DD4B53" w:rsidRDefault="00063622" w:rsidP="00271762">
      <w:pPr>
        <w:spacing w:before="120" w:after="120" w:line="340" w:lineRule="exact"/>
        <w:jc w:val="center"/>
        <w:rPr>
          <w:rFonts w:ascii="Times New Roman" w:hAnsi="Times New Roman" w:cs="Times New Roman"/>
          <w:b/>
          <w:bCs/>
          <w:sz w:val="28"/>
          <w:szCs w:val="28"/>
        </w:rPr>
      </w:pPr>
      <w:r w:rsidRPr="00DD4B53">
        <w:rPr>
          <w:rFonts w:ascii="Times New Roman" w:hAnsi="Times New Roman" w:cs="Times New Roman"/>
          <w:b/>
          <w:bCs/>
          <w:sz w:val="28"/>
          <w:szCs w:val="28"/>
        </w:rPr>
        <w:t>CHO DOANH NGHIỆP TRONG THỜI ĐẠI MỚI</w:t>
      </w:r>
      <w:bookmarkStart w:id="0" w:name="_GoBack"/>
      <w:bookmarkEnd w:id="0"/>
    </w:p>
    <w:p w:rsidR="00AA1F31" w:rsidRDefault="00AA1F31" w:rsidP="00AA1F31">
      <w:pPr>
        <w:spacing w:before="120" w:after="120" w:line="340" w:lineRule="exact"/>
        <w:jc w:val="both"/>
        <w:rPr>
          <w:rFonts w:ascii="Times New Roman" w:hAnsi="Times New Roman" w:cs="Times New Roman"/>
          <w:sz w:val="28"/>
          <w:szCs w:val="28"/>
        </w:rPr>
      </w:pPr>
    </w:p>
    <w:p w:rsidR="00AA1F31" w:rsidRDefault="00063622" w:rsidP="00AA1F31">
      <w:pPr>
        <w:spacing w:before="120" w:after="120" w:line="340" w:lineRule="exact"/>
        <w:jc w:val="both"/>
        <w:rPr>
          <w:rFonts w:ascii="Times New Roman" w:hAnsi="Times New Roman" w:cs="Times New Roman"/>
          <w:sz w:val="28"/>
          <w:szCs w:val="28"/>
        </w:rPr>
      </w:pPr>
      <w:r w:rsidRPr="00DD4B53">
        <w:rPr>
          <w:rFonts w:ascii="Times New Roman" w:hAnsi="Times New Roman" w:cs="Times New Roman"/>
          <w:sz w:val="28"/>
          <w:szCs w:val="28"/>
        </w:rPr>
        <w:t>Kính thưa Đoàn Chủ tị</w:t>
      </w:r>
      <w:r w:rsidR="00AA1F31">
        <w:rPr>
          <w:rFonts w:ascii="Times New Roman" w:hAnsi="Times New Roman" w:cs="Times New Roman"/>
          <w:sz w:val="28"/>
          <w:szCs w:val="28"/>
        </w:rPr>
        <w:t>ch,</w:t>
      </w:r>
    </w:p>
    <w:p w:rsidR="00AA1F31" w:rsidRDefault="00063622" w:rsidP="00AA1F31">
      <w:pPr>
        <w:spacing w:before="120" w:after="120" w:line="340" w:lineRule="exact"/>
        <w:jc w:val="both"/>
        <w:rPr>
          <w:rFonts w:ascii="Times New Roman" w:hAnsi="Times New Roman" w:cs="Times New Roman"/>
          <w:sz w:val="28"/>
          <w:szCs w:val="28"/>
        </w:rPr>
      </w:pPr>
      <w:r w:rsidRPr="00DD4B53">
        <w:rPr>
          <w:rFonts w:ascii="Times New Roman" w:hAnsi="Times New Roman" w:cs="Times New Roman"/>
          <w:sz w:val="28"/>
          <w:szCs w:val="28"/>
        </w:rPr>
        <w:t>Kính thưa các đồng chí Lãnh đạ</w:t>
      </w:r>
      <w:r w:rsidR="00AA1F31">
        <w:rPr>
          <w:rFonts w:ascii="Times New Roman" w:hAnsi="Times New Roman" w:cs="Times New Roman"/>
          <w:sz w:val="28"/>
          <w:szCs w:val="28"/>
        </w:rPr>
        <w:t>o,</w:t>
      </w:r>
    </w:p>
    <w:p w:rsidR="00146E1A" w:rsidRPr="00DD4B53" w:rsidRDefault="00063622" w:rsidP="00AA1F31">
      <w:pPr>
        <w:spacing w:before="120" w:after="120" w:line="340" w:lineRule="exact"/>
        <w:jc w:val="both"/>
        <w:rPr>
          <w:rFonts w:ascii="Times New Roman" w:hAnsi="Times New Roman" w:cs="Times New Roman"/>
          <w:sz w:val="28"/>
          <w:szCs w:val="28"/>
        </w:rPr>
      </w:pPr>
      <w:r w:rsidRPr="00DD4B53">
        <w:rPr>
          <w:rFonts w:ascii="Times New Roman" w:hAnsi="Times New Roman" w:cs="Times New Roman"/>
          <w:sz w:val="28"/>
          <w:szCs w:val="28"/>
        </w:rPr>
        <w:t>Kính thưa quý vị đại biểu và toàn thể hội viên!</w:t>
      </w:r>
    </w:p>
    <w:p w:rsidR="00146E1A" w:rsidRPr="00DD4B53" w:rsidRDefault="00063622" w:rsidP="00AA1F31">
      <w:pPr>
        <w:spacing w:before="120" w:after="120" w:line="340" w:lineRule="exact"/>
        <w:jc w:val="both"/>
        <w:rPr>
          <w:rFonts w:ascii="Times New Roman" w:hAnsi="Times New Roman" w:cs="Times New Roman"/>
          <w:sz w:val="28"/>
          <w:szCs w:val="28"/>
        </w:rPr>
      </w:pPr>
      <w:r w:rsidRPr="00DD4B53">
        <w:rPr>
          <w:rFonts w:ascii="Times New Roman" w:hAnsi="Times New Roman" w:cs="Times New Roman"/>
          <w:sz w:val="28"/>
          <w:szCs w:val="28"/>
        </w:rPr>
        <w:t>Tôi là Phạm Xuân Thoả – Tổng Giám đốc Công ty Cổ phần Kinh tế Xanh GDPX</w:t>
      </w:r>
      <w:r w:rsidR="00DD4B53" w:rsidRPr="00DD4B53">
        <w:rPr>
          <w:rFonts w:ascii="Times New Roman" w:hAnsi="Times New Roman" w:cs="Times New Roman"/>
          <w:sz w:val="28"/>
          <w:szCs w:val="28"/>
        </w:rPr>
        <w:t>, đại diệ</w:t>
      </w:r>
      <w:r w:rsidR="00AA1F31">
        <w:rPr>
          <w:rFonts w:ascii="Times New Roman" w:hAnsi="Times New Roman" w:cs="Times New Roman"/>
          <w:sz w:val="28"/>
          <w:szCs w:val="28"/>
        </w:rPr>
        <w:t>n cho T</w:t>
      </w:r>
      <w:r w:rsidR="00DD4B53" w:rsidRPr="00DD4B53">
        <w:rPr>
          <w:rFonts w:ascii="Times New Roman" w:hAnsi="Times New Roman" w:cs="Times New Roman"/>
          <w:sz w:val="28"/>
          <w:szCs w:val="28"/>
        </w:rPr>
        <w:t>iểu ban Chuyển đổi số VGA.</w:t>
      </w:r>
    </w:p>
    <w:p w:rsidR="00DD4B53" w:rsidRDefault="00DD4B53" w:rsidP="00AA1F31">
      <w:pPr>
        <w:pStyle w:val="NormalWeb"/>
        <w:spacing w:before="120" w:beforeAutospacing="0" w:after="120" w:afterAutospacing="0" w:line="340" w:lineRule="exact"/>
        <w:jc w:val="both"/>
        <w:rPr>
          <w:b/>
          <w:bCs/>
          <w:sz w:val="28"/>
          <w:szCs w:val="28"/>
        </w:rPr>
      </w:pPr>
      <w:r w:rsidRPr="00DD4B53">
        <w:rPr>
          <w:sz w:val="28"/>
          <w:szCs w:val="28"/>
        </w:rPr>
        <w:t xml:space="preserve">Hôm nay, chúng ta ngồi đây để nói về tương lai của nền kinh tế Xanh. Nhưng tôi xin phép bắt đầu bằng một thực tế: </w:t>
      </w:r>
      <w:r w:rsidRPr="00DD4B53">
        <w:rPr>
          <w:b/>
          <w:bCs/>
          <w:sz w:val="28"/>
          <w:szCs w:val="28"/>
        </w:rPr>
        <w:t>Sẽ không có Chuyển đổi Xanh nếu thiếu Chuyển đổi Số.</w:t>
      </w:r>
    </w:p>
    <w:p w:rsidR="00DD4B53" w:rsidRPr="00DD4B53" w:rsidRDefault="00DD4B53" w:rsidP="00AA1F31">
      <w:pPr>
        <w:pStyle w:val="NormalWeb"/>
        <w:spacing w:before="120" w:beforeAutospacing="0" w:after="120" w:afterAutospacing="0" w:line="340" w:lineRule="exact"/>
        <w:jc w:val="both"/>
        <w:rPr>
          <w:sz w:val="28"/>
          <w:szCs w:val="28"/>
        </w:rPr>
      </w:pPr>
      <w:r w:rsidRPr="00DD4B53">
        <w:rPr>
          <w:sz w:val="28"/>
          <w:szCs w:val="28"/>
        </w:rPr>
        <w:t>Tại sao tôi lại khẳng định mạnh mẽ như vậy?</w:t>
      </w:r>
    </w:p>
    <w:p w:rsidR="00AA1F31" w:rsidRDefault="00DD4B53" w:rsidP="00AA1F31">
      <w:pPr>
        <w:pStyle w:val="NormalWeb"/>
        <w:spacing w:before="120" w:beforeAutospacing="0" w:after="120" w:afterAutospacing="0" w:line="340" w:lineRule="exact"/>
        <w:jc w:val="both"/>
        <w:rPr>
          <w:sz w:val="28"/>
          <w:szCs w:val="28"/>
        </w:rPr>
      </w:pPr>
      <w:r w:rsidRPr="00DD4B53">
        <w:rPr>
          <w:sz w:val="28"/>
          <w:szCs w:val="28"/>
        </w:rPr>
        <w:t xml:space="preserve">Thưa quý vị, thế giới đã bước vào kỷ nguyên của </w:t>
      </w:r>
      <w:r w:rsidRPr="00DD4B53">
        <w:rPr>
          <w:b/>
          <w:bCs/>
          <w:sz w:val="28"/>
          <w:szCs w:val="28"/>
        </w:rPr>
        <w:t>"Chuyển đổi Kép"</w:t>
      </w:r>
      <w:r w:rsidRPr="00DD4B53">
        <w:rPr>
          <w:sz w:val="28"/>
          <w:szCs w:val="28"/>
        </w:rPr>
        <w:t xml:space="preserve">. Trong kỷ nguyên này, một doanh nghiệp tuyên bố mình "Xanh" là chưa đủ. Các thị trường khó tính như Âu, Mỹ không tin vào lời nói, họ chỉ tin vào </w:t>
      </w:r>
      <w:r w:rsidRPr="00DD4B53">
        <w:rPr>
          <w:b/>
          <w:bCs/>
          <w:sz w:val="28"/>
          <w:szCs w:val="28"/>
        </w:rPr>
        <w:t>Dữ liệu</w:t>
      </w:r>
      <w:r w:rsidRPr="00DD4B53">
        <w:rPr>
          <w:sz w:val="28"/>
          <w:szCs w:val="28"/>
        </w:rPr>
        <w:t xml:space="preserve">. Khi hàng rào thuế carbon dựng lên, hay các báo cáo ESG trở thành yêu cầu bắt buộc, câu hỏi đầu tiên họ đặt ra cho chúng ta là: </w:t>
      </w:r>
      <w:r w:rsidRPr="00DD4B53">
        <w:rPr>
          <w:i/>
          <w:iCs/>
          <w:sz w:val="28"/>
          <w:szCs w:val="28"/>
        </w:rPr>
        <w:t>"Đâu là bằng chứng? Đâu là con số chính xác về thực hành ESG của quý vị? Và làm sao tôi kiểm chứng được nó?"</w:t>
      </w:r>
    </w:p>
    <w:p w:rsidR="00AA1F31" w:rsidRDefault="00DD4B53" w:rsidP="00AA1F31">
      <w:pPr>
        <w:pStyle w:val="NormalWeb"/>
        <w:spacing w:before="120" w:beforeAutospacing="0" w:after="120" w:afterAutospacing="0" w:line="340" w:lineRule="exact"/>
        <w:jc w:val="both"/>
        <w:rPr>
          <w:b/>
          <w:bCs/>
          <w:sz w:val="28"/>
          <w:szCs w:val="28"/>
        </w:rPr>
      </w:pPr>
      <w:r w:rsidRPr="00DD4B53">
        <w:rPr>
          <w:sz w:val="28"/>
          <w:szCs w:val="28"/>
        </w:rPr>
        <w:t xml:space="preserve">Nếu chúng ta vẫn quản lý bằng sổ sách, ước lượng cảm tính, chúng ta sẽ thua ngay từ vạch xuất phát. Chính vì vậy, sứ mệnh của Trung tâm Chuyển đổi số tại VGA không phải là làm IT hay sửa máy tính. Sứ mệnh của chúng tôi là </w:t>
      </w:r>
      <w:r w:rsidRPr="00DD4B53">
        <w:rPr>
          <w:b/>
          <w:bCs/>
          <w:sz w:val="28"/>
          <w:szCs w:val="28"/>
        </w:rPr>
        <w:t>"Số hóa niềm tin"</w:t>
      </w:r>
      <w:r w:rsidRPr="00DD4B53">
        <w:rPr>
          <w:sz w:val="28"/>
          <w:szCs w:val="28"/>
        </w:rPr>
        <w:t xml:space="preserve">. Chúng tôi cung cấp công cụ để biến những nỗ lực xanh hóa của quý vị thành những </w:t>
      </w:r>
      <w:r w:rsidRPr="00DD4B53">
        <w:rPr>
          <w:b/>
          <w:bCs/>
          <w:sz w:val="28"/>
          <w:szCs w:val="28"/>
        </w:rPr>
        <w:t>dữ liệu được quốc tế công nhận.</w:t>
      </w:r>
    </w:p>
    <w:p w:rsidR="00146E1A" w:rsidRPr="00B62D60" w:rsidRDefault="00063622" w:rsidP="00AA1F31">
      <w:pPr>
        <w:pStyle w:val="NormalWeb"/>
        <w:spacing w:before="120" w:beforeAutospacing="0" w:after="120" w:afterAutospacing="0" w:line="340" w:lineRule="exact"/>
        <w:jc w:val="both"/>
        <w:rPr>
          <w:b/>
          <w:bCs/>
          <w:sz w:val="28"/>
          <w:szCs w:val="28"/>
        </w:rPr>
      </w:pPr>
      <w:r w:rsidRPr="00DD4B53">
        <w:rPr>
          <w:sz w:val="28"/>
          <w:szCs w:val="28"/>
        </w:rPr>
        <w:br/>
        <w:t>Tầm nhìn của chúng tôi là: Trở thành trung tâm năng lực hàng đầu Việt Nam, nơi công nghệ số là đòn bẩy cho mọi doanh nghiệp trong hành trình chuyển đổi xanh.</w:t>
      </w:r>
    </w:p>
    <w:p w:rsidR="00AA1F31" w:rsidRDefault="00063622" w:rsidP="00AA1F31">
      <w:pPr>
        <w:spacing w:before="120" w:after="120" w:line="340" w:lineRule="exact"/>
        <w:jc w:val="both"/>
        <w:rPr>
          <w:rFonts w:ascii="Times New Roman" w:hAnsi="Times New Roman" w:cs="Times New Roman"/>
          <w:sz w:val="28"/>
          <w:szCs w:val="28"/>
        </w:rPr>
      </w:pPr>
      <w:r w:rsidRPr="00262A17">
        <w:rPr>
          <w:rFonts w:ascii="Times New Roman" w:hAnsi="Times New Roman" w:cs="Times New Roman"/>
          <w:sz w:val="28"/>
          <w:szCs w:val="28"/>
        </w:rPr>
        <w:lastRenderedPageBreak/>
        <w:t>Sứ mệnh của chúng tôi là: Trao quyền cho hội viên bằng Công cụ – Tri thức – và Kết nối, giúp doanh nghiệp ứng dụng chuyển đổi số thành công, tăng trưởng bền vững và đáp ứng các tiêu chuẩn xanh toàn cầu.</w:t>
      </w:r>
    </w:p>
    <w:p w:rsidR="00146E1A" w:rsidRPr="00262A17" w:rsidRDefault="00063622" w:rsidP="00AA1F31">
      <w:pPr>
        <w:spacing w:before="120" w:after="120" w:line="340" w:lineRule="exact"/>
        <w:jc w:val="both"/>
        <w:rPr>
          <w:rFonts w:ascii="Times New Roman" w:hAnsi="Times New Roman" w:cs="Times New Roman"/>
          <w:sz w:val="28"/>
          <w:szCs w:val="28"/>
        </w:rPr>
      </w:pPr>
      <w:r w:rsidRPr="00262A17">
        <w:rPr>
          <w:rFonts w:ascii="Times New Roman" w:hAnsi="Times New Roman" w:cs="Times New Roman"/>
          <w:sz w:val="28"/>
          <w:szCs w:val="28"/>
        </w:rPr>
        <w:t>Nói ngắn gọn: Chúng tôi không làm thay doanh nghiệp, chúng tôi giúp doanh nghiệp làm chủ.</w:t>
      </w:r>
    </w:p>
    <w:p w:rsidR="00AA1F31" w:rsidRDefault="00063622" w:rsidP="00AA1F31">
      <w:pPr>
        <w:pStyle w:val="NormalWeb"/>
        <w:spacing w:before="120" w:beforeAutospacing="0" w:after="120" w:afterAutospacing="0" w:line="340" w:lineRule="exact"/>
        <w:jc w:val="both"/>
        <w:rPr>
          <w:sz w:val="28"/>
          <w:szCs w:val="28"/>
        </w:rPr>
      </w:pPr>
      <w:r w:rsidRPr="00DD4B53">
        <w:rPr>
          <w:sz w:val="28"/>
          <w:szCs w:val="28"/>
        </w:rPr>
        <w:t>Trong thời gian</w:t>
      </w:r>
      <w:r w:rsidR="00DD4B53" w:rsidRPr="00DD4B53">
        <w:rPr>
          <w:sz w:val="28"/>
          <w:szCs w:val="28"/>
        </w:rPr>
        <w:t xml:space="preserve"> 12 tháng</w:t>
      </w:r>
      <w:r w:rsidRPr="00DD4B53">
        <w:rPr>
          <w:sz w:val="28"/>
          <w:szCs w:val="28"/>
        </w:rPr>
        <w:t xml:space="preserve"> tới, </w:t>
      </w:r>
      <w:r w:rsidR="00B62D60">
        <w:rPr>
          <w:sz w:val="28"/>
          <w:szCs w:val="28"/>
        </w:rPr>
        <w:t xml:space="preserve">Tiểu </w:t>
      </w:r>
      <w:r w:rsidRPr="00DD4B53">
        <w:rPr>
          <w:sz w:val="28"/>
          <w:szCs w:val="28"/>
        </w:rPr>
        <w:t xml:space="preserve">Ban Chuyển đổi số VGA tập </w:t>
      </w:r>
      <w:r w:rsidR="00AA1F31">
        <w:rPr>
          <w:sz w:val="28"/>
          <w:szCs w:val="28"/>
        </w:rPr>
        <w:t>trung vào ba trụ cột hành động:</w:t>
      </w:r>
    </w:p>
    <w:p w:rsidR="00DD4B53" w:rsidRPr="00DD4B53" w:rsidRDefault="00DD4B53" w:rsidP="00AA1F31">
      <w:pPr>
        <w:pStyle w:val="NormalWeb"/>
        <w:spacing w:before="120" w:beforeAutospacing="0" w:after="120" w:afterAutospacing="0" w:line="340" w:lineRule="exact"/>
        <w:jc w:val="both"/>
        <w:rPr>
          <w:sz w:val="28"/>
          <w:szCs w:val="28"/>
        </w:rPr>
      </w:pPr>
      <w:r w:rsidRPr="00DD4B53">
        <w:rPr>
          <w:b/>
          <w:bCs/>
          <w:sz w:val="28"/>
          <w:szCs w:val="28"/>
        </w:rPr>
        <w:t>Thứ nhất: Kiến tạo "Hộ chiếu Xanh" cho doanh nghiệp</w:t>
      </w:r>
      <w:r w:rsidRPr="00DD4B53">
        <w:rPr>
          <w:sz w:val="28"/>
          <w:szCs w:val="28"/>
        </w:rPr>
        <w:t xml:space="preserve"> Ngay trong Quý 2, chúng tôi sẽ ra mắt </w:t>
      </w:r>
      <w:r w:rsidRPr="00DD4B53">
        <w:rPr>
          <w:b/>
          <w:bCs/>
          <w:sz w:val="28"/>
          <w:szCs w:val="28"/>
        </w:rPr>
        <w:t>Cổng thông tin Hội viên</w:t>
      </w:r>
      <w:r w:rsidRPr="00DD4B53">
        <w:rPr>
          <w:sz w:val="28"/>
          <w:szCs w:val="28"/>
        </w:rPr>
        <w:t xml:space="preserve">. Đây không chỉ là nơi lưu trữ danh sách hội viên. Nó là một hệ thống </w:t>
      </w:r>
      <w:r w:rsidRPr="00DD4B53">
        <w:rPr>
          <w:b/>
          <w:bCs/>
          <w:sz w:val="28"/>
          <w:szCs w:val="28"/>
        </w:rPr>
        <w:t>Hồ sơ năng lực số</w:t>
      </w:r>
      <w:r w:rsidRPr="00DD4B53">
        <w:rPr>
          <w:sz w:val="28"/>
          <w:szCs w:val="28"/>
        </w:rPr>
        <w:t>. Tại đây, mỗi doanh nghiệp sẽ có một trang định danh riêng, minh bạch hóa các chứng chỉ xanh, mức độ thực hành ESG và năng lực công nghệ. Khi quý vị cần chứng minh năng lực với đối tác/ngân hàng, chỉ cần một đường link xác thực từ Hiệp hội. Đây chính là tấm "Hộ chiếu xanh" để quý vị bước ra thị trường.</w:t>
      </w:r>
    </w:p>
    <w:p w:rsidR="00DD4B53" w:rsidRDefault="00DD4B53" w:rsidP="00AA1F31">
      <w:pPr>
        <w:pStyle w:val="NormalWeb"/>
        <w:spacing w:before="120" w:beforeAutospacing="0" w:after="120" w:afterAutospacing="0" w:line="340" w:lineRule="exact"/>
        <w:jc w:val="both"/>
        <w:rPr>
          <w:sz w:val="28"/>
          <w:szCs w:val="28"/>
        </w:rPr>
      </w:pPr>
      <w:r w:rsidRPr="00DD4B53">
        <w:rPr>
          <w:b/>
          <w:bCs/>
          <w:sz w:val="28"/>
          <w:szCs w:val="28"/>
        </w:rPr>
        <w:t>Thứ hai: Xây dựng Sàn giao dịch Công nghệ tin cậy.</w:t>
      </w:r>
      <w:r w:rsidRPr="00DD4B53">
        <w:rPr>
          <w:sz w:val="28"/>
          <w:szCs w:val="28"/>
        </w:rPr>
        <w:t xml:space="preserve"> Rất nhiều doanh nghiệp muốn chuyển đổi xanh nhưng lạc lối trong "ma trận" công nghệ: Mua giải pháp nào? Của ai? Có hiệu quả không? Trung tâm sẽ xây dựng </w:t>
      </w:r>
      <w:r w:rsidRPr="00DD4B53">
        <w:rPr>
          <w:b/>
          <w:bCs/>
          <w:sz w:val="28"/>
          <w:szCs w:val="28"/>
        </w:rPr>
        <w:t>Sàn giao dịch Công nghệ Xanh</w:t>
      </w:r>
      <w:r w:rsidRPr="00DD4B53">
        <w:rPr>
          <w:sz w:val="28"/>
          <w:szCs w:val="28"/>
        </w:rPr>
        <w:t xml:space="preserve"> với cơ chế đặc biệt: </w:t>
      </w:r>
      <w:r w:rsidRPr="00DD4B53">
        <w:rPr>
          <w:b/>
          <w:bCs/>
          <w:sz w:val="28"/>
          <w:szCs w:val="28"/>
        </w:rPr>
        <w:t>"Verified by VGA"</w:t>
      </w:r>
      <w:r w:rsidRPr="00DD4B53">
        <w:rPr>
          <w:sz w:val="28"/>
          <w:szCs w:val="28"/>
        </w:rPr>
        <w:t xml:space="preserve">. Mọi giải pháp đưa lên đây đều phải qua quy trình thẩm định gắt gao. Chúng tôi đóng vai trò là "bộ lọc" để đảm bảo hội viên tìm được đúng thuốc cho đúng bệnh, với chi phí tối ưu nhất, tránh rủi ro đầu tư sai lầm. Trong quá trình vận động thành lập Hiệp hội, chúng tôi đã tập hợp được hơn 50 Hội viên đang tích cực cung cấp giải pháp công nghệ phù hợp như: </w:t>
      </w:r>
      <w:r w:rsidR="00AA1F31">
        <w:rPr>
          <w:sz w:val="28"/>
          <w:szCs w:val="28"/>
        </w:rPr>
        <w:t xml:space="preserve">Liên hiệp HTX Kinh tế số Việt Nam, Viên Công nghệ Xanh, </w:t>
      </w:r>
      <w:r w:rsidRPr="00DD4B53">
        <w:rPr>
          <w:sz w:val="28"/>
          <w:szCs w:val="28"/>
        </w:rPr>
        <w:t>Công ty Cổ phần Đại Thành, Công ty Cổ phần Kinh tế Xanh GDPX, Công ty SolAgris, Checkee, TechAI, Leadon; cùng nhiều nhà cung cấp các giải pháp công nghệ khác để Hội viên, khách hàng, đối tác lựa chọn ngay từ thời điểm đầu hoạt động.</w:t>
      </w:r>
    </w:p>
    <w:p w:rsidR="00AA1F31" w:rsidRPr="007E20F7" w:rsidRDefault="00AA1F31" w:rsidP="00AA1F31">
      <w:pPr>
        <w:pStyle w:val="Compact"/>
        <w:spacing w:before="120" w:after="120" w:line="340" w:lineRule="exact"/>
        <w:jc w:val="both"/>
        <w:rPr>
          <w:rFonts w:ascii="Times New Roman" w:hAnsi="Times New Roman" w:cs="Times New Roman"/>
          <w:b/>
          <w:sz w:val="28"/>
          <w:szCs w:val="28"/>
        </w:rPr>
      </w:pPr>
      <w:r>
        <w:rPr>
          <w:rFonts w:ascii="Times New Roman" w:hAnsi="Times New Roman" w:cs="Times New Roman"/>
          <w:b/>
          <w:spacing w:val="3"/>
          <w:sz w:val="28"/>
          <w:szCs w:val="28"/>
          <w:shd w:val="clear" w:color="auto" w:fill="FFFFFF"/>
          <w:lang w:val="en-US"/>
        </w:rPr>
        <w:t xml:space="preserve">Thứ ba: </w:t>
      </w:r>
      <w:r w:rsidRPr="007E20F7">
        <w:rPr>
          <w:rFonts w:ascii="Times New Roman" w:hAnsi="Times New Roman" w:cs="Times New Roman"/>
          <w:b/>
          <w:spacing w:val="3"/>
          <w:sz w:val="28"/>
          <w:szCs w:val="28"/>
          <w:shd w:val="clear" w:color="auto" w:fill="FFFFFF"/>
          <w:lang w:val="en-US"/>
        </w:rPr>
        <w:t>X</w:t>
      </w:r>
      <w:r w:rsidRPr="007E20F7">
        <w:rPr>
          <w:rFonts w:ascii="Times New Roman" w:hAnsi="Times New Roman" w:cs="Times New Roman"/>
          <w:b/>
          <w:spacing w:val="3"/>
          <w:sz w:val="28"/>
          <w:szCs w:val="28"/>
          <w:shd w:val="clear" w:color="auto" w:fill="FFFFFF"/>
        </w:rPr>
        <w:t xml:space="preserve">ây dựng </w:t>
      </w:r>
      <w:r>
        <w:rPr>
          <w:rFonts w:ascii="Times New Roman" w:hAnsi="Times New Roman" w:cs="Times New Roman"/>
          <w:b/>
          <w:spacing w:val="3"/>
          <w:sz w:val="28"/>
          <w:szCs w:val="28"/>
          <w:shd w:val="clear" w:color="auto" w:fill="FFFFFF"/>
          <w:lang w:val="en-US"/>
        </w:rPr>
        <w:t>n</w:t>
      </w:r>
      <w:r w:rsidRPr="007E20F7">
        <w:rPr>
          <w:rFonts w:ascii="Times New Roman" w:hAnsi="Times New Roman" w:cs="Times New Roman"/>
          <w:b/>
          <w:spacing w:val="3"/>
          <w:sz w:val="28"/>
          <w:szCs w:val="28"/>
          <w:shd w:val="clear" w:color="auto" w:fill="FFFFFF"/>
        </w:rPr>
        <w:t>ền tảng Dữ liệu Quản trị Giao thương GDPX (Governance Data Platform for eXchange):</w:t>
      </w:r>
    </w:p>
    <w:p w:rsidR="00AA1F31" w:rsidRPr="007E20F7" w:rsidRDefault="00AA1F31" w:rsidP="00AA1F31">
      <w:pPr>
        <w:pStyle w:val="Compact"/>
        <w:numPr>
          <w:ilvl w:val="0"/>
          <w:numId w:val="11"/>
        </w:numPr>
        <w:spacing w:before="120" w:after="120" w:line="340" w:lineRule="exact"/>
        <w:ind w:left="0" w:firstLine="567"/>
        <w:jc w:val="both"/>
        <w:rPr>
          <w:rFonts w:ascii="Times New Roman" w:hAnsi="Times New Roman" w:cs="Times New Roman"/>
          <w:spacing w:val="3"/>
          <w:sz w:val="28"/>
          <w:szCs w:val="28"/>
          <w:shd w:val="clear" w:color="auto" w:fill="FFFFFF"/>
        </w:rPr>
      </w:pPr>
      <w:r w:rsidRPr="007E20F7">
        <w:rPr>
          <w:rFonts w:ascii="Times New Roman" w:hAnsi="Times New Roman" w:cs="Times New Roman"/>
          <w:spacing w:val="3"/>
          <w:sz w:val="28"/>
          <w:szCs w:val="28"/>
          <w:shd w:val="clear" w:color="auto" w:fill="FFFFFF"/>
        </w:rPr>
        <w:t xml:space="preserve">Phát triển hệ thống bản đồ số, </w:t>
      </w:r>
      <w:r w:rsidRPr="007E20F7">
        <w:rPr>
          <w:rFonts w:ascii="Times New Roman" w:hAnsi="Times New Roman" w:cs="Times New Roman"/>
          <w:spacing w:val="3"/>
          <w:sz w:val="28"/>
          <w:szCs w:val="28"/>
          <w:shd w:val="clear" w:color="auto" w:fill="FFFFFF"/>
          <w:lang w:val="en-US"/>
        </w:rPr>
        <w:t>m</w:t>
      </w:r>
      <w:r w:rsidRPr="007E20F7">
        <w:rPr>
          <w:rFonts w:ascii="Times New Roman" w:hAnsi="Times New Roman" w:cs="Times New Roman"/>
          <w:spacing w:val="3"/>
          <w:sz w:val="28"/>
          <w:szCs w:val="28"/>
          <w:shd w:val="clear" w:color="auto" w:fill="FFFFFF"/>
        </w:rPr>
        <w:t xml:space="preserve">ã số vùng trồng và ứng dụng trí tuệ nhân tạo (AI) nhằm quản lý dữ liệu sản phẩm, vùng sản xuất; bảo đảm truy xuất nguồn gốc minh bạch và hỗ trợ kết nối giao thương hàng hóa. </w:t>
      </w:r>
    </w:p>
    <w:p w:rsidR="00AA1F31" w:rsidRPr="007E20F7" w:rsidRDefault="00AA1F31" w:rsidP="00AA1F31">
      <w:pPr>
        <w:pStyle w:val="Compact"/>
        <w:numPr>
          <w:ilvl w:val="0"/>
          <w:numId w:val="11"/>
        </w:numPr>
        <w:spacing w:before="120" w:after="120" w:line="340" w:lineRule="exact"/>
        <w:ind w:left="0" w:firstLine="567"/>
        <w:jc w:val="both"/>
        <w:rPr>
          <w:rFonts w:ascii="Times New Roman" w:hAnsi="Times New Roman" w:cs="Times New Roman"/>
          <w:spacing w:val="3"/>
          <w:sz w:val="28"/>
          <w:szCs w:val="28"/>
          <w:shd w:val="clear" w:color="auto" w:fill="FFFFFF"/>
        </w:rPr>
      </w:pPr>
      <w:r w:rsidRPr="007E20F7">
        <w:rPr>
          <w:rFonts w:ascii="Times New Roman" w:hAnsi="Times New Roman" w:cs="Times New Roman"/>
          <w:spacing w:val="3"/>
          <w:sz w:val="28"/>
          <w:szCs w:val="28"/>
          <w:shd w:val="clear" w:color="auto" w:fill="FFFFFF"/>
        </w:rPr>
        <w:t>Tích hợp các ứng dụng AI phục vụ quản lý tiêu chuẩn sản xuất (ISO), giải pháp số về ESG, tín chỉ các-bon và hệ thống thông tin thời tiết – nông vụ thông minh.</w:t>
      </w:r>
    </w:p>
    <w:p w:rsidR="00AA1F31" w:rsidRPr="00AA1F31" w:rsidRDefault="00AA1F31" w:rsidP="00AA1F31">
      <w:pPr>
        <w:pStyle w:val="Compact"/>
        <w:numPr>
          <w:ilvl w:val="0"/>
          <w:numId w:val="11"/>
        </w:numPr>
        <w:spacing w:before="120" w:after="120" w:line="340" w:lineRule="exact"/>
        <w:ind w:left="0" w:firstLine="567"/>
        <w:jc w:val="both"/>
        <w:rPr>
          <w:rFonts w:ascii="Times New Roman" w:hAnsi="Times New Roman" w:cs="Times New Roman"/>
          <w:spacing w:val="3"/>
          <w:sz w:val="28"/>
          <w:szCs w:val="28"/>
          <w:shd w:val="clear" w:color="auto" w:fill="FFFFFF"/>
        </w:rPr>
      </w:pPr>
      <w:r w:rsidRPr="007E20F7">
        <w:rPr>
          <w:rFonts w:ascii="Times New Roman" w:hAnsi="Times New Roman" w:cs="Times New Roman"/>
          <w:spacing w:val="3"/>
          <w:sz w:val="28"/>
          <w:szCs w:val="28"/>
          <w:shd w:val="clear" w:color="auto" w:fill="FFFFFF"/>
        </w:rPr>
        <w:t>Cung cấp báo cáo ESG và cấp chứng nhận tem nhãn xanh cho các sản phẩm đáp ứng đầy đủ tiêu chí, tiêu chuẩn theo quy định.</w:t>
      </w:r>
    </w:p>
    <w:p w:rsidR="00146E1A" w:rsidRPr="00DD4B53" w:rsidRDefault="00AA1F31" w:rsidP="00AA1F31">
      <w:pPr>
        <w:pStyle w:val="NormalWeb"/>
        <w:spacing w:before="120" w:beforeAutospacing="0" w:after="120" w:afterAutospacing="0" w:line="340" w:lineRule="exact"/>
        <w:jc w:val="both"/>
        <w:rPr>
          <w:sz w:val="28"/>
          <w:szCs w:val="28"/>
        </w:rPr>
      </w:pPr>
      <w:r>
        <w:rPr>
          <w:b/>
          <w:bCs/>
          <w:sz w:val="28"/>
          <w:szCs w:val="28"/>
        </w:rPr>
        <w:lastRenderedPageBreak/>
        <w:t>Thứ tư</w:t>
      </w:r>
      <w:r w:rsidR="00DD4B53" w:rsidRPr="00DD4B53">
        <w:rPr>
          <w:b/>
          <w:bCs/>
          <w:sz w:val="28"/>
          <w:szCs w:val="28"/>
        </w:rPr>
        <w:t>: Nâng cao năng lực thực chiến</w:t>
      </w:r>
      <w:r w:rsidR="00DD4B53" w:rsidRPr="00DD4B53">
        <w:rPr>
          <w:sz w:val="28"/>
          <w:szCs w:val="28"/>
        </w:rPr>
        <w:t xml:space="preserve"> Chúng ta không thể chuyển đổi số nếu lãnh đạo còn "mù mờ" về công nghệ. Chúng tôi sẽ triển khai các chương trình đào tạo thực chiến cho các chủ doanh nghiệp: Cách dùng AI để tối vận hành, nguyên vật liệu, chi phí, năng lượng trong nhà máy, cách dùng Blockchain để truy xuất nguồn gốc nông sản. Mục tiêu của chúng tôi là biến công nghệ từ một "gánh nặng chi phí" trở thành </w:t>
      </w:r>
      <w:r w:rsidR="00DD4B53" w:rsidRPr="00DD4B53">
        <w:rPr>
          <w:b/>
          <w:bCs/>
          <w:sz w:val="28"/>
          <w:szCs w:val="28"/>
        </w:rPr>
        <w:t>"đòn bẩy tăng trưởng"</w:t>
      </w:r>
      <w:r w:rsidR="00DD4B53" w:rsidRPr="00DD4B53">
        <w:rPr>
          <w:sz w:val="28"/>
          <w:szCs w:val="28"/>
        </w:rPr>
        <w:t>.</w:t>
      </w:r>
    </w:p>
    <w:p w:rsidR="00146E1A" w:rsidRPr="00262A17" w:rsidRDefault="00063622" w:rsidP="00AA1F31">
      <w:pPr>
        <w:spacing w:before="120" w:after="120" w:line="340" w:lineRule="exact"/>
        <w:jc w:val="both"/>
        <w:rPr>
          <w:rFonts w:ascii="Times New Roman" w:hAnsi="Times New Roman" w:cs="Times New Roman"/>
          <w:sz w:val="28"/>
          <w:szCs w:val="28"/>
        </w:rPr>
      </w:pPr>
      <w:r w:rsidRPr="00262A17">
        <w:rPr>
          <w:rFonts w:ascii="Times New Roman" w:hAnsi="Times New Roman" w:cs="Times New Roman"/>
          <w:sz w:val="28"/>
          <w:szCs w:val="28"/>
        </w:rPr>
        <w:t>Từ ba trụ cột đó, vai trò của</w:t>
      </w:r>
      <w:r w:rsidR="00F86C27" w:rsidRPr="00262A17">
        <w:rPr>
          <w:rFonts w:ascii="Times New Roman" w:hAnsi="Times New Roman" w:cs="Times New Roman"/>
          <w:sz w:val="28"/>
          <w:szCs w:val="28"/>
        </w:rPr>
        <w:t xml:space="preserve"> Tiểu</w:t>
      </w:r>
      <w:r w:rsidRPr="00262A17">
        <w:rPr>
          <w:rFonts w:ascii="Times New Roman" w:hAnsi="Times New Roman" w:cs="Times New Roman"/>
          <w:sz w:val="28"/>
          <w:szCs w:val="28"/>
        </w:rPr>
        <w:t xml:space="preserve"> Ban Chuyển đổi số VGA rất rõ ràng:</w:t>
      </w:r>
      <w:r w:rsidRPr="00262A17">
        <w:rPr>
          <w:rFonts w:ascii="Times New Roman" w:hAnsi="Times New Roman" w:cs="Times New Roman"/>
          <w:sz w:val="28"/>
          <w:szCs w:val="28"/>
        </w:rPr>
        <w:br/>
        <w:t>Nâng cao năng lực cạnh tranh, mở rộng thị trường, tối ưu chi phí – giảm rủi ro và nâng cao uy tín – thương hiệu cho hội viên.</w:t>
      </w:r>
    </w:p>
    <w:p w:rsidR="00262A17" w:rsidRPr="00262A17" w:rsidRDefault="00262A17" w:rsidP="00AA1F31">
      <w:pPr>
        <w:spacing w:before="120" w:after="120" w:line="340" w:lineRule="exact"/>
        <w:jc w:val="both"/>
        <w:rPr>
          <w:rFonts w:ascii="Times New Roman" w:hAnsi="Times New Roman" w:cs="Times New Roman"/>
          <w:sz w:val="28"/>
          <w:szCs w:val="28"/>
        </w:rPr>
      </w:pPr>
      <w:r w:rsidRPr="00262A17">
        <w:rPr>
          <w:rFonts w:ascii="Times New Roman" w:hAnsi="Times New Roman" w:cs="Times New Roman"/>
          <w:sz w:val="28"/>
          <w:szCs w:val="28"/>
        </w:rPr>
        <w:t>Kính thưa Đại hội,</w:t>
      </w:r>
    </w:p>
    <w:p w:rsidR="00262A17" w:rsidRPr="00262A17" w:rsidRDefault="00262A17" w:rsidP="00AA1F31">
      <w:pPr>
        <w:spacing w:before="120" w:after="120" w:line="340" w:lineRule="exact"/>
        <w:jc w:val="both"/>
        <w:rPr>
          <w:rFonts w:ascii="Times New Roman" w:hAnsi="Times New Roman" w:cs="Times New Roman"/>
          <w:sz w:val="28"/>
          <w:szCs w:val="28"/>
        </w:rPr>
      </w:pPr>
      <w:r w:rsidRPr="00262A17">
        <w:rPr>
          <w:rFonts w:ascii="Times New Roman" w:hAnsi="Times New Roman" w:cs="Times New Roman"/>
          <w:sz w:val="28"/>
          <w:szCs w:val="28"/>
        </w:rPr>
        <w:t>Trong khuôn khổ định hướng của </w:t>
      </w:r>
      <w:r w:rsidRPr="00262A17">
        <w:rPr>
          <w:rFonts w:ascii="Times New Roman" w:hAnsi="Times New Roman" w:cs="Times New Roman"/>
          <w:b/>
          <w:bCs/>
          <w:sz w:val="28"/>
          <w:szCs w:val="28"/>
        </w:rPr>
        <w:t>Tiểu ban Chuyển đổi số VGA</w:t>
      </w:r>
      <w:r w:rsidRPr="00262A17">
        <w:rPr>
          <w:rFonts w:ascii="Times New Roman" w:hAnsi="Times New Roman" w:cs="Times New Roman"/>
          <w:sz w:val="28"/>
          <w:szCs w:val="28"/>
        </w:rPr>
        <w:t>, chúng tôi xác định rõ: chuyển đổi số không phải là tạo ra khái niệm mới, mà là </w:t>
      </w:r>
      <w:r w:rsidRPr="00262A17">
        <w:rPr>
          <w:rFonts w:ascii="Times New Roman" w:hAnsi="Times New Roman" w:cs="Times New Roman"/>
          <w:b/>
          <w:bCs/>
          <w:sz w:val="28"/>
          <w:szCs w:val="28"/>
        </w:rPr>
        <w:t>tổ chức lại dữ liệu mà doanh nghiệp và địa phương đang có</w:t>
      </w:r>
      <w:r w:rsidRPr="00262A17">
        <w:rPr>
          <w:rFonts w:ascii="Times New Roman" w:hAnsi="Times New Roman" w:cs="Times New Roman"/>
          <w:sz w:val="28"/>
          <w:szCs w:val="28"/>
        </w:rPr>
        <w:t>. Trên tinh thần đó, các doanh nghiệp hội viên như </w:t>
      </w:r>
      <w:r w:rsidRPr="00262A17">
        <w:rPr>
          <w:rFonts w:ascii="Times New Roman" w:hAnsi="Times New Roman" w:cs="Times New Roman"/>
          <w:b/>
          <w:bCs/>
          <w:sz w:val="28"/>
          <w:szCs w:val="28"/>
        </w:rPr>
        <w:t>GDPX</w:t>
      </w:r>
      <w:r w:rsidRPr="00262A17">
        <w:rPr>
          <w:rFonts w:ascii="Times New Roman" w:hAnsi="Times New Roman" w:cs="Times New Roman"/>
          <w:sz w:val="28"/>
          <w:szCs w:val="28"/>
        </w:rPr>
        <w:t> đang tham gia triển khai những mô hình quản trị dữ liệu giao thương, thu thập, chuẩn hoá và kết nối dữ liệu về vùng sản xuất, điều kiện tự nhiên, quy trình, tiêu chuẩn chất lượng và truy xuất nguồn gốc. Khi dữ liệu được tổ chức thống nhất, chúng không còn là các báo cáo rời rạc, mà trở thành </w:t>
      </w:r>
      <w:r w:rsidRPr="00262A17">
        <w:rPr>
          <w:rFonts w:ascii="Times New Roman" w:hAnsi="Times New Roman" w:cs="Times New Roman"/>
          <w:b/>
          <w:bCs/>
          <w:sz w:val="28"/>
          <w:szCs w:val="28"/>
        </w:rPr>
        <w:t>tư liệu sản xuất của thời đại số</w:t>
      </w:r>
      <w:r w:rsidRPr="00262A17">
        <w:rPr>
          <w:rFonts w:ascii="Times New Roman" w:hAnsi="Times New Roman" w:cs="Times New Roman"/>
          <w:sz w:val="28"/>
          <w:szCs w:val="28"/>
        </w:rPr>
        <w:t>, giúp doanh nghiệp chứng minh năng lực thật, giảm rủi ro, mở rộng thị trường, tiếp cận tài chính và tích luỹ giá trị bền vững theo thời gian.</w:t>
      </w:r>
    </w:p>
    <w:p w:rsidR="00262A17" w:rsidRPr="00262A17" w:rsidRDefault="00262A17" w:rsidP="00AA1F31">
      <w:pPr>
        <w:spacing w:before="120" w:after="120" w:line="340" w:lineRule="exact"/>
        <w:jc w:val="both"/>
        <w:rPr>
          <w:rFonts w:ascii="Times New Roman" w:hAnsi="Times New Roman" w:cs="Times New Roman"/>
          <w:sz w:val="28"/>
          <w:szCs w:val="28"/>
        </w:rPr>
      </w:pPr>
      <w:r w:rsidRPr="00262A17">
        <w:rPr>
          <w:rFonts w:ascii="Times New Roman" w:hAnsi="Times New Roman" w:cs="Times New Roman"/>
          <w:sz w:val="28"/>
          <w:szCs w:val="28"/>
        </w:rPr>
        <w:t>Nếu ví </w:t>
      </w:r>
      <w:r w:rsidRPr="00262A17">
        <w:rPr>
          <w:rFonts w:ascii="Times New Roman" w:hAnsi="Times New Roman" w:cs="Times New Roman"/>
          <w:b/>
          <w:bCs/>
          <w:sz w:val="28"/>
          <w:szCs w:val="28"/>
        </w:rPr>
        <w:t>VGA là con tàu vươn ra biển lớn</w:t>
      </w:r>
      <w:r w:rsidRPr="00262A17">
        <w:rPr>
          <w:rFonts w:ascii="Times New Roman" w:hAnsi="Times New Roman" w:cs="Times New Roman"/>
          <w:sz w:val="28"/>
          <w:szCs w:val="28"/>
        </w:rPr>
        <w:t>, thì </w:t>
      </w:r>
      <w:r w:rsidRPr="00262A17">
        <w:rPr>
          <w:rFonts w:ascii="Times New Roman" w:hAnsi="Times New Roman" w:cs="Times New Roman"/>
          <w:b/>
          <w:bCs/>
          <w:sz w:val="28"/>
          <w:szCs w:val="28"/>
        </w:rPr>
        <w:t>Tiểu ban Chuyển đổi số</w:t>
      </w:r>
      <w:r w:rsidRPr="00262A17">
        <w:rPr>
          <w:rFonts w:ascii="Times New Roman" w:hAnsi="Times New Roman" w:cs="Times New Roman"/>
          <w:sz w:val="28"/>
          <w:szCs w:val="28"/>
        </w:rPr>
        <w:t> chính là </w:t>
      </w:r>
      <w:r w:rsidRPr="00262A17">
        <w:rPr>
          <w:rFonts w:ascii="Times New Roman" w:hAnsi="Times New Roman" w:cs="Times New Roman"/>
          <w:b/>
          <w:bCs/>
          <w:sz w:val="28"/>
          <w:szCs w:val="28"/>
        </w:rPr>
        <w:t>hệ thống định vị</w:t>
      </w:r>
      <w:r w:rsidRPr="00262A17">
        <w:rPr>
          <w:rFonts w:ascii="Times New Roman" w:hAnsi="Times New Roman" w:cs="Times New Roman"/>
          <w:sz w:val="28"/>
          <w:szCs w:val="28"/>
        </w:rPr>
        <w:t>, xây dựng chuẩn chung và nền tảng số để các doanh nghiệp hội viên vận hành hiệu quả. Với vai trò đó, Tiểu ban Chuyển đổi số VGA cam kết kiến tạo hạ tầng chung, không để hội viên nào bị bỏ lại phía sau, và đồng hành cùng doanh nghiệp Việt Nam bước ra thị trường xanh toàn cầu bằng năng lực thực chất.</w:t>
      </w:r>
    </w:p>
    <w:p w:rsidR="00262A17" w:rsidRPr="00262A17" w:rsidRDefault="00262A17" w:rsidP="00AA1F31">
      <w:pPr>
        <w:spacing w:before="120" w:after="120" w:line="340" w:lineRule="exact"/>
        <w:jc w:val="both"/>
        <w:rPr>
          <w:rFonts w:ascii="Times New Roman" w:hAnsi="Times New Roman" w:cs="Times New Roman"/>
          <w:sz w:val="28"/>
          <w:szCs w:val="28"/>
        </w:rPr>
      </w:pPr>
      <w:r w:rsidRPr="00262A17">
        <w:rPr>
          <w:rFonts w:ascii="Times New Roman" w:hAnsi="Times New Roman" w:cs="Times New Roman"/>
          <w:sz w:val="28"/>
          <w:szCs w:val="28"/>
        </w:rPr>
        <w:t>Xin trân trọng cảm ơn Đại hội.</w:t>
      </w:r>
    </w:p>
    <w:p w:rsidR="00146E1A" w:rsidRPr="00262A17" w:rsidRDefault="00146E1A" w:rsidP="00AA1F31">
      <w:pPr>
        <w:spacing w:before="120" w:after="120" w:line="340" w:lineRule="exact"/>
        <w:jc w:val="both"/>
        <w:rPr>
          <w:rFonts w:ascii="Times New Roman" w:hAnsi="Times New Roman" w:cs="Times New Roman"/>
          <w:sz w:val="28"/>
          <w:szCs w:val="28"/>
        </w:rPr>
      </w:pPr>
    </w:p>
    <w:sectPr w:rsidR="00146E1A" w:rsidRPr="00262A17" w:rsidSect="00AA1F31">
      <w:footerReference w:type="default" r:id="rId10"/>
      <w:pgSz w:w="12240" w:h="15840"/>
      <w:pgMar w:top="1134" w:right="1467"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20A" w:rsidRDefault="008C320A" w:rsidP="00AA1F31">
      <w:pPr>
        <w:spacing w:after="0" w:line="240" w:lineRule="auto"/>
      </w:pPr>
      <w:r>
        <w:separator/>
      </w:r>
    </w:p>
  </w:endnote>
  <w:endnote w:type="continuationSeparator" w:id="0">
    <w:p w:rsidR="008C320A" w:rsidRDefault="008C320A" w:rsidP="00AA1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982471"/>
      <w:docPartObj>
        <w:docPartGallery w:val="Page Numbers (Bottom of Page)"/>
        <w:docPartUnique/>
      </w:docPartObj>
    </w:sdtPr>
    <w:sdtEndPr>
      <w:rPr>
        <w:noProof/>
      </w:rPr>
    </w:sdtEndPr>
    <w:sdtContent>
      <w:p w:rsidR="00AA1F31" w:rsidRDefault="00AA1F31">
        <w:pPr>
          <w:pStyle w:val="Footer"/>
          <w:jc w:val="right"/>
        </w:pPr>
        <w:r>
          <w:fldChar w:fldCharType="begin"/>
        </w:r>
        <w:r>
          <w:instrText xml:space="preserve"> PAGE   \* MERGEFORMAT </w:instrText>
        </w:r>
        <w:r>
          <w:fldChar w:fldCharType="separate"/>
        </w:r>
        <w:r w:rsidR="00271762">
          <w:rPr>
            <w:noProof/>
          </w:rPr>
          <w:t>1</w:t>
        </w:r>
        <w:r>
          <w:rPr>
            <w:noProof/>
          </w:rPr>
          <w:fldChar w:fldCharType="end"/>
        </w:r>
      </w:p>
    </w:sdtContent>
  </w:sdt>
  <w:p w:rsidR="00AA1F31" w:rsidRDefault="00AA1F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20A" w:rsidRDefault="008C320A" w:rsidP="00AA1F31">
      <w:pPr>
        <w:spacing w:after="0" w:line="240" w:lineRule="auto"/>
      </w:pPr>
      <w:r>
        <w:separator/>
      </w:r>
    </w:p>
  </w:footnote>
  <w:footnote w:type="continuationSeparator" w:id="0">
    <w:p w:rsidR="008C320A" w:rsidRDefault="008C320A" w:rsidP="00AA1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A991"/>
    <w:multiLevelType w:val="multilevel"/>
    <w:tmpl w:val="2B24891E"/>
    <w:lvl w:ilvl="0">
      <w:numFmt w:val="bullet"/>
      <w:lvlText w:val=""/>
      <w:lvlJc w:val="left"/>
      <w:pPr>
        <w:ind w:left="360" w:hanging="360"/>
      </w:pPr>
      <w:rPr>
        <w:rFonts w:ascii="Symbol" w:hAnsi="Symbol" w:cs="Symbol" w:hint="default"/>
      </w:rPr>
    </w:lvl>
    <w:lvl w:ilv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cs="Wingdings" w:hint="default"/>
      </w:rPr>
    </w:lvl>
    <w:lvl w:ilvl="3">
      <w:numFmt w:val="bullet"/>
      <w:lvlText w:val=""/>
      <w:lvlJc w:val="left"/>
      <w:pPr>
        <w:ind w:left="2520" w:hanging="360"/>
      </w:pPr>
      <w:rPr>
        <w:rFonts w:ascii="Symbol" w:hAnsi="Symbol" w:cs="Symbol" w:hint="default"/>
      </w:rPr>
    </w:lvl>
    <w:lvl w:ilvl="4">
      <w:numFmt w:val="bullet"/>
      <w:lvlText w:val="o"/>
      <w:lvlJc w:val="left"/>
      <w:pPr>
        <w:ind w:left="3240" w:hanging="360"/>
      </w:pPr>
      <w:rPr>
        <w:rFonts w:ascii="Courier New" w:hAnsi="Courier New" w:cs="Courier New" w:hint="default"/>
      </w:rPr>
    </w:lvl>
    <w:lvl w:ilvl="5">
      <w:numFmt w:val="bullet"/>
      <w:lvlText w:val=""/>
      <w:lvlJc w:val="left"/>
      <w:pPr>
        <w:ind w:left="3960" w:hanging="360"/>
      </w:pPr>
      <w:rPr>
        <w:rFonts w:ascii="Wingdings" w:hAnsi="Wingdings" w:cs="Wingdings" w:hint="default"/>
      </w:rPr>
    </w:lvl>
    <w:lvl w:ilvl="6">
      <w:numFmt w:val="bullet"/>
      <w:lvlText w:val=""/>
      <w:lvlJc w:val="left"/>
      <w:pPr>
        <w:ind w:left="4680" w:hanging="360"/>
      </w:pPr>
      <w:rPr>
        <w:rFonts w:ascii="Symbol" w:hAnsi="Symbol" w:cs="Symbol" w:hint="default"/>
      </w:rPr>
    </w:lvl>
    <w:lvl w:ilvl="7">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Wingdings" w:hAnsi="Wingdings" w:cs="Wingdings" w:hint="default"/>
      </w:rPr>
    </w:lvl>
  </w:abstractNum>
  <w:abstractNum w:abstractNumId="10" w15:restartNumberingAfterBreak="0">
    <w:nsid w:val="465D16AA"/>
    <w:multiLevelType w:val="hybridMultilevel"/>
    <w:tmpl w:val="53F8DD1A"/>
    <w:lvl w:ilvl="0" w:tplc="3AF8B9C2">
      <w:numFmt w:val="bullet"/>
      <w:lvlText w:val="-"/>
      <w:lvlJc w:val="left"/>
      <w:pPr>
        <w:ind w:left="1080" w:hanging="360"/>
      </w:pPr>
      <w:rPr>
        <w:rFonts w:ascii="Times New Roman" w:hAnsi="Times New Roman" w:cs="Times New Roman" w:hint="default"/>
        <w:b w:val="0"/>
        <w:i w:val="0"/>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63622"/>
    <w:rsid w:val="000A4888"/>
    <w:rsid w:val="00146E1A"/>
    <w:rsid w:val="0015074B"/>
    <w:rsid w:val="00262A17"/>
    <w:rsid w:val="00271762"/>
    <w:rsid w:val="0029639D"/>
    <w:rsid w:val="00326F90"/>
    <w:rsid w:val="00384C55"/>
    <w:rsid w:val="004C7356"/>
    <w:rsid w:val="00786736"/>
    <w:rsid w:val="0086086A"/>
    <w:rsid w:val="008C320A"/>
    <w:rsid w:val="008D79D6"/>
    <w:rsid w:val="00AA1D8D"/>
    <w:rsid w:val="00AA1F31"/>
    <w:rsid w:val="00B47730"/>
    <w:rsid w:val="00B62D60"/>
    <w:rsid w:val="00BE520B"/>
    <w:rsid w:val="00C67A65"/>
    <w:rsid w:val="00CB0664"/>
    <w:rsid w:val="00DD4B53"/>
    <w:rsid w:val="00F86C2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D5A0FE"/>
  <w14:defaultImageDpi w14:val="300"/>
  <w15:docId w15:val="{BDF70D2A-8269-4E4E-BBC5-065DA30F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D4B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act">
    <w:name w:val="Compact"/>
    <w:basedOn w:val="BodyText"/>
    <w:qFormat/>
    <w:rsid w:val="00AA1F31"/>
    <w:pPr>
      <w:spacing w:before="36" w:after="36" w:line="240" w:lineRule="auto"/>
    </w:pPr>
    <w:rPr>
      <w:rFonts w:eastAsiaTheme="minorHAnsi"/>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455528">
      <w:bodyDiv w:val="1"/>
      <w:marLeft w:val="0"/>
      <w:marRight w:val="0"/>
      <w:marTop w:val="0"/>
      <w:marBottom w:val="0"/>
      <w:divBdr>
        <w:top w:val="none" w:sz="0" w:space="0" w:color="auto"/>
        <w:left w:val="none" w:sz="0" w:space="0" w:color="auto"/>
        <w:bottom w:val="none" w:sz="0" w:space="0" w:color="auto"/>
        <w:right w:val="none" w:sz="0" w:space="0" w:color="auto"/>
      </w:divBdr>
    </w:div>
    <w:div w:id="1473249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3974B-5A5A-429A-9DB6-2A7BE086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5</cp:revision>
  <dcterms:created xsi:type="dcterms:W3CDTF">2026-01-20T03:36:00Z</dcterms:created>
  <dcterms:modified xsi:type="dcterms:W3CDTF">2026-01-21T08:01:00Z</dcterms:modified>
  <cp:category/>
</cp:coreProperties>
</file>